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0931-2022-F</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6"/>
        <w:rPr>
          <w:rFonts w:hint="eastAsia"/>
        </w:rPr>
      </w:pPr>
    </w:p>
    <w:p>
      <w:pPr>
        <w:pStyle w:val="16"/>
        <w:rPr>
          <w:rFonts w:hint="eastAsia"/>
        </w:rPr>
      </w:pPr>
    </w:p>
    <w:p>
      <w:pPr>
        <w:pStyle w:val="16"/>
        <w:rPr>
          <w:rFonts w:hint="eastAsia"/>
        </w:rPr>
      </w:pPr>
    </w:p>
    <w:p>
      <w:pPr>
        <w:pStyle w:val="16"/>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湖北宜达鲜农副产品有限公司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6"/>
        <w:rPr>
          <w:rFonts w:hint="eastAsia"/>
        </w:rPr>
      </w:pPr>
    </w:p>
    <w:p>
      <w:pPr>
        <w:pStyle w:val="16"/>
        <w:rPr>
          <w:rFonts w:hint="eastAsia"/>
        </w:rPr>
      </w:pPr>
    </w:p>
    <w:p>
      <w:pPr>
        <w:pStyle w:val="16"/>
        <w:rPr>
          <w:rFonts w:hint="eastAsia"/>
        </w:rPr>
      </w:pPr>
    </w:p>
    <w:p>
      <w:pPr>
        <w:pStyle w:val="16"/>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湖北宜达鲜农副产品有限公司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洪山区青菱乡张家湾特一号海鲜大市场鲜肉1区19号商铺</w:t>
            </w:r>
            <w:bookmarkEnd w:id="8"/>
          </w:p>
        </w:tc>
        <w:tc>
          <w:tcPr>
            <w:tcW w:w="1242" w:type="dxa"/>
            <w:vMerge w:val="restart"/>
            <w:vAlign w:val="center"/>
          </w:tcPr>
          <w:p>
            <w:r>
              <w:rPr>
                <w:rFonts w:hint="eastAsia"/>
              </w:rPr>
              <w:t>邮编</w:t>
            </w:r>
          </w:p>
        </w:tc>
        <w:tc>
          <w:tcPr>
            <w:tcW w:w="1771" w:type="dxa"/>
          </w:tcPr>
          <w:p>
            <w:bookmarkStart w:id="9" w:name="注册邮编"/>
            <w:r>
              <w:t>430072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湖北省武汉市洪山区青菱乡张家湾特一号海鲜大市场鲜肉1区19号商铺</w:t>
            </w:r>
            <w:bookmarkEnd w:id="10"/>
          </w:p>
        </w:tc>
        <w:tc>
          <w:tcPr>
            <w:tcW w:w="1242" w:type="dxa"/>
            <w:vMerge w:val="continue"/>
            <w:vAlign w:val="center"/>
          </w:tcPr>
          <w:p/>
        </w:tc>
        <w:tc>
          <w:tcPr>
            <w:tcW w:w="1771" w:type="dxa"/>
          </w:tcPr>
          <w:p>
            <w:bookmarkStart w:id="11" w:name="办公邮编"/>
            <w:r>
              <w:t>430072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施玉林</w:t>
            </w:r>
            <w:bookmarkEnd w:id="12"/>
          </w:p>
        </w:tc>
        <w:tc>
          <w:tcPr>
            <w:tcW w:w="1313" w:type="dxa"/>
            <w:vAlign w:val="center"/>
          </w:tcPr>
          <w:p>
            <w:r>
              <w:rPr>
                <w:rFonts w:hint="eastAsia"/>
              </w:rPr>
              <w:t>电话.</w:t>
            </w:r>
          </w:p>
        </w:tc>
        <w:tc>
          <w:tcPr>
            <w:tcW w:w="2180" w:type="dxa"/>
            <w:vAlign w:val="center"/>
          </w:tcPr>
          <w:p>
            <w:bookmarkStart w:id="13" w:name="联系人电话"/>
            <w:r>
              <w:t>15927554531</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5" w:name="法人"/>
            <w:r>
              <w:t>施玉林</w:t>
            </w:r>
            <w:bookmarkEnd w:id="15"/>
          </w:p>
        </w:tc>
        <w:tc>
          <w:tcPr>
            <w:tcW w:w="1313" w:type="dxa"/>
            <w:vAlign w:val="center"/>
          </w:tcPr>
          <w:p>
            <w:r>
              <w:rPr>
                <w:rFonts w:hint="eastAsia"/>
              </w:rPr>
              <w:t>管理者代表</w:t>
            </w:r>
          </w:p>
        </w:tc>
        <w:tc>
          <w:tcPr>
            <w:tcW w:w="2180" w:type="dxa"/>
          </w:tcPr>
          <w:p>
            <w:bookmarkStart w:id="16" w:name="管理者代表"/>
            <w:r>
              <w:t>秦建峰</w:t>
            </w:r>
            <w:bookmarkEnd w:id="16"/>
          </w:p>
        </w:tc>
        <w:tc>
          <w:tcPr>
            <w:tcW w:w="1242" w:type="dxa"/>
          </w:tcPr>
          <w:p>
            <w:r>
              <w:rPr>
                <w:rFonts w:hint="eastAsia"/>
              </w:rPr>
              <w:t>邮箱</w:t>
            </w:r>
          </w:p>
        </w:tc>
        <w:tc>
          <w:tcPr>
            <w:tcW w:w="1771" w:type="dxa"/>
          </w:tcPr>
          <w:p>
            <w:bookmarkStart w:id="17" w:name="联系人邮箱"/>
            <w:r>
              <w:rPr>
                <w:sz w:val="21"/>
                <w:szCs w:val="21"/>
              </w:rPr>
              <w:t>505567813@qq.com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val="0"/>
                <w:bCs w:val="0"/>
                <w:color w:val="000000"/>
                <w:highlight w:val="none"/>
                <w:lang w:val="en-US" w:eastAsia="zh-CN"/>
              </w:rPr>
              <w:t>原辅料采购→验收/分拣→冷冻冷藏（适用时）→称量→检验→装车→运输/配送</w:t>
            </w: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2022年08月02日 下午</w:t>
            </w:r>
            <w:r>
              <w:rPr>
                <w:rFonts w:hint="eastAsia"/>
                <w:lang w:val="en-US" w:eastAsia="zh-CN"/>
              </w:rPr>
              <w:t>13:00</w:t>
            </w:r>
            <w:r>
              <w:rPr>
                <w:rFonts w:hint="eastAsia"/>
              </w:rPr>
              <w:t>至2022年08月03日 上午</w:t>
            </w:r>
            <w:bookmarkEnd w:id="18"/>
            <w:r>
              <w:rPr>
                <w:rFonts w:hint="eastAsia"/>
                <w:lang w:val="en-US" w:eastAsia="zh-CN"/>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8" w:name="H勾选Add1"/>
            <w:r>
              <w:rPr>
                <w:rFonts w:hint="eastAsia"/>
                <w:lang w:val="de-DE"/>
              </w:rPr>
              <w:t>□</w:t>
            </w:r>
            <w:bookmarkEnd w:id="28"/>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rFonts w:hint="eastAsia"/>
                <w:sz w:val="20"/>
              </w:rPr>
              <w:t>位于洪山区青菱乡张家湾特一号海鲜大市场鲜肉1区19号商铺湖北宜达鲜农副产品有限公司销售区的预包装食品（含冷冻畜禽肉）销售、农副产品（蔬菜、鲜肉、水产品）销售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FI-2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不适用</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有效至年月日</w:t>
            </w:r>
            <w:r>
              <w:rPr>
                <w:rFonts w:hint="eastAsia"/>
                <w:lang w:eastAsia="zh-CN"/>
              </w:rPr>
              <w:t>【</w:t>
            </w:r>
            <w:r>
              <w:rPr>
                <w:rFonts w:hint="eastAsia"/>
                <w:lang w:val="en-US" w:eastAsia="zh-CN"/>
              </w:rPr>
              <w:t>不适用</w:t>
            </w:r>
            <w:r>
              <w:rPr>
                <w:rFonts w:hint="eastAsia"/>
                <w:lang w:eastAsia="zh-CN"/>
              </w:rPr>
              <w:t>】</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pPr>
            <w:r>
              <w:t>湖北宜达鲜农副产品有限公司</w:t>
            </w:r>
          </w:p>
          <w:p>
            <w:pPr>
              <w:pStyle w:val="16"/>
              <w:rPr>
                <w:rFonts w:ascii="Times New Roman" w:hAnsi="Times New Roman" w:eastAsia="宋体" w:cs="Times New Roman"/>
                <w:bCs/>
                <w:spacing w:val="10"/>
                <w:kern w:val="2"/>
                <w:sz w:val="21"/>
                <w:szCs w:val="24"/>
                <w:lang w:val="de-DE" w:eastAsia="ja-JP" w:bidi="ar-SA"/>
              </w:rPr>
            </w:pPr>
            <w:r>
              <w:rPr>
                <w:rFonts w:asciiTheme="minorEastAsia" w:hAnsiTheme="minorEastAsia" w:eastAsiaTheme="minorEastAsia"/>
                <w:sz w:val="20"/>
              </w:rPr>
              <w:t>洪山区青菱乡张家湾特一号海鲜大市场鲜肉1区19号商铺</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洪山区青菱乡张家湾特一号海鲜大市场鲜肉1区19号商铺</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8人</w:t>
            </w:r>
          </w:p>
        </w:tc>
        <w:tc>
          <w:tcPr>
            <w:tcW w:w="2803" w:type="dxa"/>
            <w:vAlign w:val="center"/>
          </w:tcPr>
          <w:p>
            <w:pPr>
              <w:pStyle w:val="25"/>
              <w:rPr>
                <w:rFonts w:ascii="Times New Roman" w:hAnsi="Times New Roman" w:eastAsia="黑体" w:cs="Arial"/>
                <w:kern w:val="2"/>
                <w:sz w:val="21"/>
                <w:szCs w:val="21"/>
                <w:lang w:val="en-US" w:eastAsia="ja-JP" w:bidi="ar-SA"/>
              </w:rPr>
            </w:pPr>
            <w:r>
              <w:rPr>
                <w:rFonts w:hint="eastAsia"/>
                <w:sz w:val="20"/>
              </w:rPr>
              <w:t>位于洪山区青菱乡张家湾特一号海鲜大市场鲜肉1区19号商铺湖北宜达鲜农副产品有限公司销售区的预包装食品（含冷冻畜禽肉）销售、农副产品（蔬菜、鲜肉、水产品）销售</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color w:val="0000FF"/>
          <w:lang w:eastAsia="zh-CN"/>
        </w:rPr>
        <w:t>——</w:t>
      </w:r>
      <w:r>
        <w:rPr>
          <w:rFonts w:hint="eastAsia"/>
          <w:color w:val="0000FF"/>
          <w:lang w:val="en-US" w:eastAsia="zh-CN"/>
        </w:rPr>
        <w:t>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7"/>
      </w:pPr>
      <w:r>
        <w:rPr>
          <w:rFonts w:hint="eastAsia"/>
        </w:rPr>
        <w:t>四、</w:t>
      </w:r>
      <w:r>
        <w:t>对偏离审核计划情况</w:t>
      </w:r>
      <w:r>
        <w:rPr>
          <w:rFonts w:hint="eastAsia"/>
        </w:rPr>
        <w:t>及理由</w:t>
      </w:r>
      <w:r>
        <w:t>，包括对审核风险及影响审核结论的不确定性的客观陈述。</w:t>
      </w:r>
    </w:p>
    <w:p>
      <w:pPr>
        <w:rPr>
          <w:rFonts w:hint="default" w:eastAsia="宋体"/>
          <w:lang w:val="en-US" w:eastAsia="zh-CN"/>
        </w:rPr>
      </w:pPr>
      <w:r>
        <w:rPr>
          <w:rFonts w:hint="eastAsia"/>
        </w:rPr>
        <w:t>本次审核活动按《审核计划》执行。完成情况说明:</w:t>
      </w:r>
      <w:r>
        <w:rPr>
          <w:rFonts w:hint="eastAsia"/>
          <w:color w:val="0000FF"/>
          <w:lang w:eastAsia="zh-CN"/>
        </w:rPr>
        <w:t>——</w:t>
      </w:r>
      <w:r>
        <w:rPr>
          <w:rFonts w:hint="eastAsia"/>
          <w:color w:val="0000FF"/>
          <w:lang w:val="en-US" w:eastAsia="zh-CN"/>
        </w:rPr>
        <w:t>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2020-N1FSMS-3059498</w:t>
            </w:r>
          </w:p>
        </w:tc>
        <w:tc>
          <w:tcPr>
            <w:tcW w:w="2179" w:type="dxa"/>
            <w:vAlign w:val="center"/>
          </w:tcPr>
          <w:p>
            <w: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color w:val="0000FF"/>
          <w:lang w:eastAsia="zh-CN"/>
        </w:rPr>
      </w:pPr>
      <w:r>
        <w:rPr>
          <w:rFonts w:hint="eastAsia"/>
        </w:rPr>
        <w:t>六、上次审核后发生的影响组织管理体系的重要变更（适用时）</w:t>
      </w:r>
      <w:r>
        <w:rPr>
          <w:rFonts w:hint="eastAsia"/>
          <w:color w:val="0000FF"/>
          <w:lang w:eastAsia="zh-CN"/>
        </w:rPr>
        <w:t>【</w:t>
      </w:r>
      <w:r>
        <w:rPr>
          <w:rFonts w:hint="eastAsia"/>
          <w:color w:val="0000FF"/>
          <w:lang w:val="en-US" w:eastAsia="zh-CN"/>
        </w:rPr>
        <w:t>不适用</w:t>
      </w:r>
      <w:r>
        <w:rPr>
          <w:rFonts w:hint="eastAsia"/>
          <w:color w:val="0000FF"/>
          <w:lang w:eastAsia="zh-CN"/>
        </w:rPr>
        <w:t>】</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审核周期内未发生重大事故、未发生顾客/相关方投诉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已在二阶段进行验证，已整改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val="en-US" w:eastAsia="zh-CN"/>
              </w:rPr>
            </w:pPr>
            <w:r>
              <w:rPr>
                <w:rFonts w:hint="eastAsia"/>
                <w:highlight w:val="none"/>
                <w:lang w:val="en-US" w:eastAsia="zh-CN"/>
              </w:rPr>
              <w:t>2</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eastAsia="zh-CN"/>
              </w:rPr>
            </w:pPr>
            <w:r>
              <w:rPr>
                <w:rFonts w:hint="eastAsia"/>
                <w:highlight w:val="none"/>
                <w:lang w:val="en-US" w:eastAsia="zh-CN"/>
              </w:rPr>
              <w:t>2</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W w:w="10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2014"/>
        <w:gridCol w:w="2764"/>
        <w:gridCol w:w="2602"/>
        <w:gridCol w:w="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vMerge w:val="continue"/>
            <w:shd w:val="clear" w:color="auto" w:fill="auto"/>
          </w:tcPr>
          <w:p/>
        </w:tc>
        <w:tc>
          <w:tcPr>
            <w:tcW w:w="8350" w:type="dxa"/>
            <w:gridSpan w:val="4"/>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vMerge w:val="continue"/>
            <w:shd w:val="clear" w:color="auto" w:fill="auto"/>
          </w:tcPr>
          <w:p/>
        </w:tc>
        <w:tc>
          <w:tcPr>
            <w:tcW w:w="8350" w:type="dxa"/>
            <w:gridSpan w:val="4"/>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vMerge w:val="continue"/>
            <w:shd w:val="clear" w:color="auto" w:fill="auto"/>
          </w:tcPr>
          <w:p/>
        </w:tc>
        <w:tc>
          <w:tcPr>
            <w:tcW w:w="8350" w:type="dxa"/>
            <w:gridSpan w:val="4"/>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vMerge w:val="continue"/>
            <w:shd w:val="clear" w:color="auto" w:fill="auto"/>
          </w:tcPr>
          <w:p/>
        </w:tc>
        <w:tc>
          <w:tcPr>
            <w:tcW w:w="8350" w:type="dxa"/>
            <w:gridSpan w:val="4"/>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45" w:hRule="atLeast"/>
        </w:trPr>
        <w:tc>
          <w:tcPr>
            <w:tcW w:w="1730" w:type="dxa"/>
            <w:vMerge w:val="continue"/>
            <w:shd w:val="clear" w:color="auto" w:fill="auto"/>
          </w:tcPr>
          <w:p/>
        </w:tc>
        <w:tc>
          <w:tcPr>
            <w:tcW w:w="8350" w:type="dxa"/>
            <w:gridSpan w:val="4"/>
            <w:shd w:val="clear" w:color="auto" w:fill="auto"/>
          </w:tcPr>
          <w:p>
            <w:pPr>
              <w:rPr>
                <w:rFonts w:hint="eastAsia" w:eastAsia="宋体"/>
                <w:lang w:eastAsia="zh-CN"/>
              </w:rPr>
            </w:pPr>
            <w:bookmarkStart w:id="40" w:name="范围变化"/>
            <w:bookmarkEnd w:id="40"/>
            <w:r>
              <w:rPr>
                <w:rFonts w:hint="eastAsia"/>
              </w:rPr>
              <w:t>审核范围变更</w:t>
            </w:r>
            <w:r>
              <w:rPr>
                <w:rFonts w:hint="eastAsia"/>
                <w:lang w:eastAsia="zh-CN"/>
              </w:rPr>
              <w:t>【</w:t>
            </w:r>
            <w:r>
              <w:rPr>
                <w:rFonts w:hint="eastAsia"/>
                <w:lang w:val="en-US" w:eastAsia="zh-CN"/>
              </w:rPr>
              <w:t>一阶段变更</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495"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428"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rPr>
                <w:rFonts w:hint="eastAsia"/>
                <w:sz w:val="20"/>
              </w:rPr>
              <w:t>位于洪山区青菱乡张家湾特一号海鲜大市场鲜肉1区19号商铺湖北宜达鲜农副产品有限公司销售区的预包装食品（含冷冻畜禽肉）销售、农副产品（蔬菜、鲜肉、水产品）销售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06"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0" w:hRule="atLeast"/>
        </w:trPr>
        <w:tc>
          <w:tcPr>
            <w:tcW w:w="1730" w:type="dxa"/>
            <w:vMerge w:val="continue"/>
            <w:shd w:val="clear" w:color="auto" w:fill="auto"/>
          </w:tcPr>
          <w:p/>
        </w:tc>
        <w:tc>
          <w:tcPr>
            <w:tcW w:w="8350"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0080" w:type="dxa"/>
            <w:gridSpan w:val="5"/>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4"/>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4"/>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514" w:type="dxa"/>
            <w:gridSpan w:val="5"/>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0"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514" w:type="dxa"/>
            <w:gridSpan w:val="5"/>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0" w:type="dxa"/>
            <w:vMerge w:val="continue"/>
            <w:vAlign w:val="center"/>
          </w:tcPr>
          <w:p>
            <w:pPr>
              <w:rPr>
                <w:rFonts w:ascii="宋体"/>
                <w:b/>
                <w:strike/>
                <w:dstrike w:val="0"/>
                <w:color w:val="0000FF"/>
                <w:szCs w:val="21"/>
              </w:rPr>
            </w:pPr>
          </w:p>
        </w:tc>
        <w:tc>
          <w:tcPr>
            <w:tcW w:w="8514" w:type="dxa"/>
            <w:gridSpan w:val="5"/>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9" w:hRule="exact"/>
          <w:jc w:val="center"/>
        </w:trPr>
        <w:tc>
          <w:tcPr>
            <w:tcW w:w="1730" w:type="dxa"/>
          </w:tcPr>
          <w:p>
            <w:pPr>
              <w:rPr>
                <w:highlight w:val="none"/>
              </w:rPr>
            </w:pPr>
            <w:r>
              <w:rPr>
                <w:rFonts w:hint="eastAsia"/>
                <w:highlight w:val="none"/>
              </w:rPr>
              <w:t>审核组长签字</w:t>
            </w:r>
          </w:p>
        </w:tc>
        <w:tc>
          <w:tcPr>
            <w:tcW w:w="2984" w:type="dxa"/>
            <w:gridSpan w:val="2"/>
            <w:tcMar>
              <w:left w:w="113" w:type="dxa"/>
            </w:tcMar>
          </w:tcPr>
          <w:p>
            <w:pPr>
              <w:rPr>
                <w:rFonts w:hint="eastAsia" w:eastAsia="宋体"/>
                <w:highlight w:val="none"/>
                <w:lang w:eastAsia="zh-CN"/>
              </w:rPr>
            </w:pPr>
            <w:r>
              <w:rPr>
                <w:rFonts w:hint="eastAsia" w:eastAsia="宋体"/>
                <w:highlight w:val="none"/>
                <w:lang w:eastAsia="zh-CN"/>
              </w:rPr>
              <w:drawing>
                <wp:inline distT="0" distB="0" distL="114300" distR="114300">
                  <wp:extent cx="853440" cy="495935"/>
                  <wp:effectExtent l="0" t="0" r="10160" b="12065"/>
                  <wp:docPr id="2" name="图片 2" descr="1655823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5823099(1)"/>
                          <pic:cNvPicPr>
                            <a:picLocks noChangeAspect="1"/>
                          </pic:cNvPicPr>
                        </pic:nvPicPr>
                        <pic:blipFill>
                          <a:blip r:embed="rId6"/>
                          <a:stretch>
                            <a:fillRect/>
                          </a:stretch>
                        </pic:blipFill>
                        <pic:spPr>
                          <a:xfrm>
                            <a:off x="0" y="0"/>
                            <a:ext cx="853440" cy="495935"/>
                          </a:xfrm>
                          <a:prstGeom prst="rect">
                            <a:avLst/>
                          </a:prstGeom>
                        </pic:spPr>
                      </pic:pic>
                    </a:graphicData>
                  </a:graphic>
                </wp:inline>
              </w:drawing>
            </w:r>
          </w:p>
        </w:tc>
        <w:tc>
          <w:tcPr>
            <w:tcW w:w="2764" w:type="dxa"/>
            <w:tcMar>
              <w:left w:w="113" w:type="dxa"/>
            </w:tcMar>
          </w:tcPr>
          <w:p>
            <w:pPr>
              <w:rPr>
                <w:highlight w:val="none"/>
              </w:rPr>
            </w:pPr>
            <w:r>
              <w:rPr>
                <w:rFonts w:hint="eastAsia"/>
                <w:highlight w:val="none"/>
              </w:rPr>
              <w:t>日期</w:t>
            </w:r>
          </w:p>
        </w:tc>
        <w:tc>
          <w:tcPr>
            <w:tcW w:w="2766" w:type="dxa"/>
            <w:gridSpan w:val="2"/>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2022-08-16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shd w:val="clear" w:color="auto" w:fill="D6E3BC" w:themeFill="accent3" w:themeFillTint="66"/>
          </w:tcPr>
          <w:p>
            <w:pPr>
              <w:shd w:val="clear" w:color="auto"/>
            </w:pPr>
            <w:r>
              <w:rPr>
                <w:rFonts w:hint="eastAsia"/>
              </w:rPr>
              <w:t>审核周期</w:t>
            </w:r>
          </w:p>
        </w:tc>
        <w:tc>
          <w:tcPr>
            <w:tcW w:w="9282" w:type="dxa"/>
            <w:shd w:val="clear" w:color="auto" w:fill="D6E3BC" w:themeFill="accent3" w:themeFillTint="66"/>
          </w:tcPr>
          <w:p>
            <w:pPr>
              <w:shd w:val="clear" w:color="auto"/>
              <w:rPr>
                <w:rFonts w:hint="default" w:eastAsia="宋体"/>
                <w:lang w:val="en-US" w:eastAsia="zh-CN"/>
              </w:rPr>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 xml:space="preserve">定期（近一年）  </w:t>
            </w:r>
            <w:r>
              <w:rPr>
                <w:rFonts w:hint="eastAsia"/>
              </w:rPr>
              <w:sym w:font="Wingdings 2" w:char="00A3"/>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shd w:val="clear" w:color="auto" w:fill="D6E3BC" w:themeFill="accent3" w:themeFillTint="66"/>
          </w:tcPr>
          <w:p>
            <w:pPr>
              <w:shd w:val="clear" w:color="auto"/>
            </w:pPr>
            <w:r>
              <w:rPr>
                <w:rFonts w:hint="eastAsia"/>
              </w:rPr>
              <w:t>体系要素</w:t>
            </w:r>
          </w:p>
        </w:tc>
        <w:tc>
          <w:tcPr>
            <w:tcW w:w="9282" w:type="dxa"/>
            <w:shd w:val="clear" w:color="auto" w:fill="D6E3BC" w:themeFill="accent3" w:themeFillTint="66"/>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242" w:hRule="atLeast"/>
        </w:trPr>
        <w:tc>
          <w:tcPr>
            <w:tcW w:w="680" w:type="dxa"/>
            <w:vMerge w:val="restart"/>
            <w:shd w:val="clear" w:color="auto" w:fill="D6E3BC" w:themeFill="accent3" w:themeFillTint="66"/>
          </w:tcPr>
          <w:p>
            <w:pPr>
              <w:shd w:val="clear" w:color="auto"/>
            </w:pPr>
            <w:r>
              <w:rPr>
                <w:rFonts w:hint="eastAsia"/>
              </w:rPr>
              <w:t>组织环境</w:t>
            </w:r>
          </w:p>
        </w:tc>
        <w:tc>
          <w:tcPr>
            <w:tcW w:w="9282" w:type="dxa"/>
            <w:shd w:val="clear" w:color="auto" w:fill="D6E3BC" w:themeFill="accent3" w:themeFillTint="66"/>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法律法规</w:t>
                  </w:r>
                  <w:r>
                    <w:rPr>
                      <w:rFonts w:hint="eastAsia"/>
                      <w:lang w:val="en-US" w:eastAsia="zh-CN"/>
                    </w:rPr>
                    <w:t xml:space="preserve"> </w:t>
                  </w:r>
                  <w:r>
                    <w:rPr>
                      <w:rFonts w:hint="eastAsia"/>
                    </w:rPr>
                    <w:t xml:space="preserve"> </w:t>
                  </w:r>
                  <w:r>
                    <w:rPr>
                      <w:rFonts w:hint="eastAsia"/>
                    </w:rPr>
                    <w:sym w:font="Wingdings 2" w:char="00A3"/>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A3"/>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84"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84"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A3"/>
            </w:r>
            <w:r>
              <w:rPr>
                <w:rFonts w:hint="eastAsia"/>
              </w:rPr>
              <w:t xml:space="preserve">特种设备管理 ☑控制措施组合确认  ☑PRP和危害控制措施的效果验证  </w:t>
            </w:r>
            <w:r>
              <w:rPr>
                <w:rFonts w:ascii="Segoe UI Symbol" w:hAnsi="Segoe UI Symbol" w:cs="Segoe UI Symbol"/>
              </w:rPr>
              <w:t>☑</w:t>
            </w:r>
            <w:r>
              <w:rPr>
                <w:rFonts w:hint="eastAsia"/>
              </w:rPr>
              <w:t>其他——车辆管理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11"/>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92" w:hRule="atLeast"/>
        </w:trPr>
        <w:tc>
          <w:tcPr>
            <w:tcW w:w="680" w:type="dxa"/>
            <w:vMerge w:val="restart"/>
            <w:shd w:val="clear" w:color="auto" w:fill="D6E3BC" w:themeFill="accent3" w:themeFillTint="66"/>
          </w:tcPr>
          <w:p>
            <w:pPr>
              <w:shd w:val="clear" w:color="auto"/>
            </w:pPr>
            <w:r>
              <w:rPr>
                <w:rFonts w:hint="eastAsia"/>
              </w:rPr>
              <w:t>领导作用</w:t>
            </w:r>
          </w:p>
        </w:tc>
        <w:tc>
          <w:tcPr>
            <w:tcW w:w="9282" w:type="dxa"/>
            <w:shd w:val="clear" w:color="auto" w:fill="D6E3BC" w:themeFill="accent3" w:themeFillTint="66"/>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eastAsia"/>
              </w:rPr>
            </w:pPr>
            <w:r>
              <w:rPr>
                <w:rFonts w:hint="eastAsia"/>
              </w:rPr>
              <w:t>最高管理者制定了文件化的食品安全管理体系方针：</w:t>
            </w:r>
          </w:p>
          <w:p>
            <w:pPr>
              <w:pStyle w:val="16"/>
              <w:rPr>
                <w:rFonts w:hint="eastAsia"/>
              </w:rPr>
            </w:pPr>
          </w:p>
          <w:p>
            <w:pPr>
              <w:widowControl/>
              <w:spacing w:before="40"/>
              <w:jc w:val="left"/>
              <w:rPr>
                <w:rFonts w:hint="default" w:eastAsia="宋体"/>
                <w:b/>
                <w:bCs/>
                <w:u w:val="single"/>
                <w:lang w:val="en-US" w:eastAsia="zh-CN"/>
              </w:rPr>
            </w:pPr>
            <w:r>
              <w:rPr>
                <w:rFonts w:hint="eastAsia"/>
                <w:b/>
                <w:bCs/>
                <w:color w:val="0000FF"/>
                <w:szCs w:val="18"/>
                <w:u w:val="single"/>
                <w:lang w:val="en-US" w:eastAsia="zh-CN"/>
              </w:rPr>
              <w:t>安全卫生，顾客满意，持续改善，行业先锋</w:t>
            </w:r>
            <w:r>
              <w:rPr>
                <w:rFonts w:hint="eastAsia"/>
                <w:b/>
                <w:bCs/>
                <w:u w:val="single"/>
              </w:rPr>
              <w:t xml:space="preserve"> </w:t>
            </w:r>
            <w:r>
              <w:rPr>
                <w:rFonts w:hint="eastAsia"/>
                <w:b/>
                <w:bCs/>
                <w:u w:val="single"/>
                <w:lang w:val="en-US" w:eastAsia="zh-CN"/>
              </w:rPr>
              <w:t xml:space="preserve">  </w:t>
            </w:r>
          </w:p>
          <w:p>
            <w:pPr>
              <w:shd w:val="clear" w:color="auto"/>
              <w:rPr>
                <w:rFonts w:hint="eastAsia"/>
                <w:b/>
                <w:bCs/>
                <w:highlight w:val="yellow"/>
                <w:u w:val="single"/>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秦建峰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863" w:hRule="atLeast"/>
        </w:trPr>
        <w:tc>
          <w:tcPr>
            <w:tcW w:w="680" w:type="dxa"/>
            <w:vMerge w:val="restart"/>
            <w:shd w:val="clear" w:color="auto" w:fill="D6E3BC" w:themeFill="accent3" w:themeFillTint="66"/>
          </w:tcPr>
          <w:p>
            <w:pPr>
              <w:shd w:val="clear" w:color="auto"/>
            </w:pPr>
            <w:r>
              <w:rPr>
                <w:rFonts w:hint="eastAsia"/>
              </w:rPr>
              <w:t>策划</w:t>
            </w:r>
          </w:p>
        </w:tc>
        <w:tc>
          <w:tcPr>
            <w:tcW w:w="9282" w:type="dxa"/>
            <w:shd w:val="clear" w:color="auto" w:fill="D6E3BC" w:themeFill="accent3" w:themeFillTint="66"/>
          </w:tcPr>
          <w:p>
            <w:pPr>
              <w:shd w:val="clear" w:color="auto"/>
            </w:pPr>
            <w:r>
              <w:rPr>
                <w:rFonts w:hint="eastAsia"/>
              </w:rPr>
              <w:t>在策划管理体系时，组织确定了需要应对的风险和机遇及应对这些风险和机遇的措施；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458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4583"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配送不及时，客户投诉</w:t>
                  </w:r>
                </w:p>
              </w:tc>
              <w:tc>
                <w:tcPr>
                  <w:tcW w:w="4583" w:type="dxa"/>
                  <w:vAlign w:val="top"/>
                </w:tcPr>
                <w:p>
                  <w:pPr>
                    <w:pStyle w:val="11"/>
                    <w:numPr>
                      <w:ilvl w:val="0"/>
                      <w:numId w:val="2"/>
                    </w:numPr>
                    <w:tabs>
                      <w:tab w:val="left" w:pos="540"/>
                    </w:tabs>
                    <w:ind w:left="-420" w:leftChars="0" w:firstLineChars="0"/>
                    <w:rPr>
                      <w:rFonts w:hint="eastAsia"/>
                      <w:b w:val="0"/>
                      <w:bCs/>
                      <w:highlight w:val="none"/>
                      <w:lang w:val="en-US" w:eastAsia="zh-CN"/>
                    </w:rPr>
                  </w:pPr>
                  <w:r>
                    <w:rPr>
                      <w:rFonts w:hint="eastAsia"/>
                      <w:b w:val="0"/>
                      <w:bCs/>
                      <w:highlight w:val="none"/>
                      <w:lang w:val="en-US" w:eastAsia="zh-CN"/>
                    </w:rPr>
                    <w:t>合理安排配送路线，提前配货；</w:t>
                  </w:r>
                </w:p>
                <w:p>
                  <w:pPr>
                    <w:pStyle w:val="11"/>
                    <w:numPr>
                      <w:ilvl w:val="0"/>
                      <w:numId w:val="2"/>
                    </w:numPr>
                    <w:tabs>
                      <w:tab w:val="left" w:pos="540"/>
                    </w:tabs>
                    <w:ind w:left="-420" w:leftChars="0" w:firstLine="420" w:firstLineChars="0"/>
                    <w:rPr>
                      <w:rFonts w:hint="default" w:ascii="Times New Roman" w:hAnsi="Times New Roman" w:eastAsia="宋体" w:cs="Times New Roman"/>
                      <w:b w:val="0"/>
                      <w:bCs/>
                      <w:kern w:val="0"/>
                      <w:sz w:val="21"/>
                      <w:szCs w:val="24"/>
                      <w:highlight w:val="none"/>
                      <w:lang w:val="en-US" w:eastAsia="zh-CN" w:bidi="ar-SA"/>
                    </w:rPr>
                  </w:pPr>
                  <w:r>
                    <w:rPr>
                      <w:rFonts w:hint="eastAsia"/>
                      <w:b w:val="0"/>
                      <w:bCs/>
                      <w:highlight w:val="none"/>
                      <w:lang w:val="en-US" w:eastAsia="zh-CN"/>
                    </w:rPr>
                    <w:t>定期调查顾客满意度；</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rPr>
                      <w:rFonts w:hint="eastAsia" w:cs="Times New Roman" w:asciiTheme="minorEastAsia" w:hAnsiTheme="minorEastAsia" w:eastAsiaTheme="minorEastAsia"/>
                      <w:kern w:val="2"/>
                      <w:sz w:val="21"/>
                      <w:szCs w:val="21"/>
                      <w:highlight w:val="yellow"/>
                      <w:lang w:val="en-US" w:eastAsia="zh-CN" w:bidi="ar-SA"/>
                    </w:rPr>
                  </w:pPr>
                  <w:r>
                    <w:rPr>
                      <w:rFonts w:hint="eastAsia" w:asciiTheme="minorEastAsia" w:hAnsiTheme="minorEastAsia" w:eastAsiaTheme="minorEastAsia"/>
                      <w:szCs w:val="21"/>
                      <w:highlight w:val="none"/>
                      <w:lang w:val="en-US" w:eastAsia="zh-CN"/>
                    </w:rPr>
                    <w:t>供应商管理不到位，采购的产品不合格，导致顾客投诉</w:t>
                  </w:r>
                </w:p>
              </w:tc>
              <w:tc>
                <w:tcPr>
                  <w:tcW w:w="4583" w:type="dxa"/>
                  <w:vAlign w:val="top"/>
                </w:tcPr>
                <w:p>
                  <w:pPr>
                    <w:pStyle w:val="11"/>
                    <w:numPr>
                      <w:ilvl w:val="0"/>
                      <w:numId w:val="0"/>
                    </w:numPr>
                    <w:tabs>
                      <w:tab w:val="left" w:pos="540"/>
                    </w:tabs>
                    <w:jc w:val="left"/>
                    <w:rPr>
                      <w:rFonts w:hint="eastAsia"/>
                      <w:b w:val="0"/>
                      <w:bCs/>
                      <w:highlight w:val="none"/>
                      <w:lang w:val="en-US" w:eastAsia="zh-CN"/>
                    </w:rPr>
                  </w:pPr>
                  <w:r>
                    <w:rPr>
                      <w:rFonts w:hint="eastAsia"/>
                      <w:b w:val="0"/>
                      <w:bCs/>
                      <w:highlight w:val="none"/>
                      <w:lang w:val="en-US" w:eastAsia="zh-CN"/>
                    </w:rPr>
                    <w:t>1）通过合格供方进行管理；</w:t>
                  </w:r>
                </w:p>
                <w:p>
                  <w:pPr>
                    <w:pStyle w:val="11"/>
                    <w:numPr>
                      <w:ilvl w:val="0"/>
                      <w:numId w:val="0"/>
                    </w:numPr>
                    <w:tabs>
                      <w:tab w:val="left" w:pos="540"/>
                    </w:tabs>
                    <w:rPr>
                      <w:rFonts w:hint="eastAsia"/>
                      <w:b w:val="0"/>
                      <w:bCs/>
                      <w:highlight w:val="none"/>
                      <w:lang w:val="en-US" w:eastAsia="zh-CN"/>
                    </w:rPr>
                  </w:pPr>
                  <w:r>
                    <w:rPr>
                      <w:rFonts w:hint="eastAsia"/>
                      <w:b w:val="0"/>
                      <w:bCs/>
                      <w:highlight w:val="none"/>
                      <w:lang w:val="en-US" w:eastAsia="zh-CN"/>
                    </w:rPr>
                    <w:t>2）每年评价供方；</w:t>
                  </w:r>
                </w:p>
                <w:p>
                  <w:pPr>
                    <w:pStyle w:val="11"/>
                    <w:numPr>
                      <w:ilvl w:val="0"/>
                      <w:numId w:val="0"/>
                    </w:numPr>
                    <w:tabs>
                      <w:tab w:val="left" w:pos="540"/>
                    </w:tabs>
                    <w:ind w:left="0" w:leftChars="0" w:firstLine="0" w:firstLineChars="0"/>
                    <w:rPr>
                      <w:rFonts w:hint="eastAsia" w:ascii="Times New Roman" w:hAnsi="Times New Roman" w:eastAsia="宋体" w:cs="Times New Roman"/>
                      <w:b w:val="0"/>
                      <w:bCs/>
                      <w:kern w:val="0"/>
                      <w:sz w:val="21"/>
                      <w:szCs w:val="24"/>
                      <w:highlight w:val="yellow"/>
                      <w:lang w:val="en-US" w:eastAsia="zh-CN" w:bidi="ar-SA"/>
                    </w:rPr>
                  </w:pPr>
                  <w:r>
                    <w:rPr>
                      <w:rFonts w:hint="eastAsia"/>
                      <w:b w:val="0"/>
                      <w:bCs/>
                      <w:highlight w:val="none"/>
                      <w:lang w:val="en-US" w:eastAsia="zh-CN"/>
                    </w:rPr>
                    <w:t>3）必要时到供方现场评价</w:t>
                  </w:r>
                </w:p>
              </w:tc>
              <w:tc>
                <w:tcPr>
                  <w:tcW w:w="1717" w:type="dxa"/>
                  <w:vAlign w:val="top"/>
                </w:tcPr>
                <w:p>
                  <w:pPr>
                    <w:rPr>
                      <w:rFonts w:hint="eastAsia" w:ascii="Times New Roman" w:hAnsi="Times New Roman" w:eastAsia="宋体" w:cs="Times New Roman"/>
                      <w:kern w:val="2"/>
                      <w:sz w:val="21"/>
                      <w:szCs w:val="24"/>
                      <w:highlight w:val="yellow"/>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shd w:val="clear"/>
                    <w:rPr>
                      <w:rFonts w:hint="eastAsia"/>
                      <w:szCs w:val="24"/>
                      <w:lang w:val="en-US" w:eastAsia="zh-CN"/>
                    </w:rPr>
                  </w:pPr>
                </w:p>
              </w:tc>
              <w:tc>
                <w:tcPr>
                  <w:tcW w:w="4583" w:type="dxa"/>
                  <w:vAlign w:val="top"/>
                </w:tcPr>
                <w:p>
                  <w:pPr>
                    <w:pStyle w:val="16"/>
                    <w:numPr>
                      <w:ilvl w:val="0"/>
                      <w:numId w:val="0"/>
                    </w:numPr>
                    <w:shd w:val="clear"/>
                    <w:ind w:leftChars="0"/>
                    <w:rPr>
                      <w:rFonts w:hint="eastAsia"/>
                      <w:lang w:val="en-US" w:eastAsia="zh-CN"/>
                    </w:rPr>
                  </w:pPr>
                </w:p>
              </w:tc>
              <w:tc>
                <w:tcPr>
                  <w:tcW w:w="1717" w:type="dxa"/>
                  <w:vAlign w:val="top"/>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4583"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国家对食品安全的关注度挺高，今几年客户对体系管理要求度越来越高</w:t>
                  </w:r>
                </w:p>
              </w:tc>
              <w:tc>
                <w:tcPr>
                  <w:tcW w:w="4583" w:type="dxa"/>
                  <w:vAlign w:val="top"/>
                </w:tcPr>
                <w:p>
                  <w:pPr>
                    <w:numPr>
                      <w:ilvl w:val="0"/>
                      <w:numId w:val="3"/>
                    </w:numPr>
                    <w:ind w:leftChars="0"/>
                    <w:rPr>
                      <w:rFonts w:hint="eastAsia"/>
                      <w:highlight w:val="none"/>
                      <w:lang w:val="en-US" w:eastAsia="zh-CN"/>
                    </w:rPr>
                  </w:pPr>
                  <w:r>
                    <w:rPr>
                      <w:rFonts w:hint="eastAsia"/>
                      <w:highlight w:val="none"/>
                      <w:lang w:val="en-US" w:eastAsia="zh-CN"/>
                    </w:rPr>
                    <w:t>通过建立体系，提高自身管理，提高食品安全意识；</w:t>
                  </w:r>
                </w:p>
                <w:p>
                  <w:pPr>
                    <w:pStyle w:val="10"/>
                    <w:numPr>
                      <w:ilvl w:val="0"/>
                      <w:numId w:val="0"/>
                    </w:numPr>
                    <w:ind w:left="0" w:leftChars="0" w:firstLine="0" w:firstLineChars="0"/>
                    <w:rPr>
                      <w:rFonts w:hint="default" w:ascii="宋体" w:hAnsi="宋体" w:eastAsia="宋体" w:cs="Times New Roman"/>
                      <w:kern w:val="2"/>
                      <w:sz w:val="20"/>
                      <w:szCs w:val="20"/>
                      <w:highlight w:val="none"/>
                      <w:lang w:val="en-US" w:eastAsia="zh-CN" w:bidi="ar-SA"/>
                    </w:rPr>
                  </w:pPr>
                  <w:r>
                    <w:rPr>
                      <w:rFonts w:hint="eastAsia"/>
                      <w:highlight w:val="none"/>
                      <w:lang w:val="en-US" w:eastAsia="zh-CN"/>
                    </w:rPr>
                    <w:t>2）关注客户需求，及时调整，满足客户要求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rPr>
                      <w:rFonts w:hint="default" w:ascii="Times New Roman" w:hAnsi="Times New Roman" w:eastAsia="宋体" w:cs="Times New Roman"/>
                      <w:kern w:val="2"/>
                      <w:sz w:val="21"/>
                      <w:szCs w:val="24"/>
                      <w:highlight w:val="none"/>
                      <w:lang w:val="en-US" w:eastAsia="zh-CN" w:bidi="ar-SA"/>
                    </w:rPr>
                  </w:pPr>
                </w:p>
              </w:tc>
              <w:tc>
                <w:tcPr>
                  <w:tcW w:w="4583" w:type="dxa"/>
                  <w:vAlign w:val="top"/>
                </w:tcPr>
                <w:p>
                  <w:pPr>
                    <w:pStyle w:val="10"/>
                    <w:numPr>
                      <w:ilvl w:val="0"/>
                      <w:numId w:val="0"/>
                    </w:numPr>
                    <w:ind w:leftChars="0"/>
                    <w:rPr>
                      <w:rFonts w:hint="eastAsia" w:ascii="宋体" w:hAnsi="宋体" w:eastAsia="宋体" w:cs="Times New Roman"/>
                      <w:kern w:val="2"/>
                      <w:sz w:val="20"/>
                      <w:szCs w:val="20"/>
                      <w:highlight w:val="none"/>
                      <w:lang w:val="en-US" w:eastAsia="zh-CN" w:bidi="ar-SA"/>
                    </w:rPr>
                  </w:pPr>
                </w:p>
              </w:tc>
              <w:tc>
                <w:tcPr>
                  <w:tcW w:w="1717" w:type="dxa"/>
                  <w:vAlign w:val="top"/>
                </w:tcPr>
                <w:p>
                  <w:pPr>
                    <w:rPr>
                      <w:rFonts w:ascii="Times New Roman" w:hAnsi="Times New Roman" w:eastAsia="宋体" w:cs="Times New Roman"/>
                      <w:kern w:val="2"/>
                      <w:sz w:val="21"/>
                      <w:szCs w:val="24"/>
                      <w:highlight w:val="none"/>
                      <w:lang w:val="en-US" w:eastAsia="zh-CN" w:bidi="ar-SA"/>
                    </w:rPr>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6"/>
              <w:shd w:val="clear"/>
              <w:rPr>
                <w:rFonts w:hint="eastAsia"/>
              </w:rPr>
            </w:pPr>
          </w:p>
          <w:tbl>
            <w:tblPr>
              <w:tblStyle w:val="12"/>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1090"/>
              <w:gridCol w:w="1505"/>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48" w:type="dxa"/>
                  <w:shd w:val="clear" w:color="auto" w:fill="auto"/>
                </w:tcPr>
                <w:p>
                  <w:pPr>
                    <w:shd w:val="clear"/>
                    <w:rPr>
                      <w:rFonts w:ascii="宋体" w:hAnsi="宋体"/>
                      <w:szCs w:val="21"/>
                    </w:rPr>
                  </w:pPr>
                  <w:r>
                    <w:rPr>
                      <w:rFonts w:hint="eastAsia" w:ascii="宋体" w:hAnsi="宋体"/>
                      <w:szCs w:val="21"/>
                    </w:rPr>
                    <w:t>食品安全目标</w:t>
                  </w:r>
                </w:p>
              </w:tc>
              <w:tc>
                <w:tcPr>
                  <w:tcW w:w="1090" w:type="dxa"/>
                  <w:shd w:val="clear" w:color="auto" w:fill="auto"/>
                </w:tcPr>
                <w:p>
                  <w:pPr>
                    <w:shd w:val="clear"/>
                    <w:rPr>
                      <w:rFonts w:ascii="宋体" w:hAnsi="宋体"/>
                      <w:szCs w:val="21"/>
                    </w:rPr>
                  </w:pPr>
                  <w:r>
                    <w:rPr>
                      <w:rFonts w:hint="eastAsia" w:ascii="宋体" w:hAnsi="宋体"/>
                      <w:szCs w:val="21"/>
                    </w:rPr>
                    <w:t>计算方法</w:t>
                  </w:r>
                </w:p>
              </w:tc>
              <w:tc>
                <w:tcPr>
                  <w:tcW w:w="1505" w:type="dxa"/>
                  <w:shd w:val="clear" w:color="auto" w:fill="auto"/>
                </w:tcPr>
                <w:p>
                  <w:pPr>
                    <w:shd w:val="clear"/>
                    <w:rPr>
                      <w:rFonts w:ascii="宋体" w:hAnsi="宋体"/>
                      <w:szCs w:val="21"/>
                    </w:rPr>
                  </w:pPr>
                  <w:r>
                    <w:rPr>
                      <w:rFonts w:hint="eastAsia" w:ascii="宋体" w:hAnsi="宋体"/>
                      <w:szCs w:val="21"/>
                    </w:rPr>
                    <w:t>责任部门</w:t>
                  </w:r>
                </w:p>
              </w:tc>
              <w:tc>
                <w:tcPr>
                  <w:tcW w:w="369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完成情况（审核周期</w:t>
                  </w:r>
                  <w:r>
                    <w:rPr>
                      <w:rFonts w:hint="eastAsia"/>
                      <w:color w:val="000000"/>
                      <w:szCs w:val="18"/>
                      <w:lang w:val="en-US" w:eastAsia="zh-CN"/>
                    </w:rPr>
                    <w:t>2022.01-2022.07</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748" w:type="dxa"/>
                  <w:shd w:val="clear" w:color="auto" w:fill="auto"/>
                  <w:vAlign w:val="center"/>
                </w:tcPr>
                <w:p>
                  <w:pPr>
                    <w:rPr>
                      <w:rFonts w:hint="eastAsia" w:ascii="Times New Roman" w:hAnsi="Times New Roman" w:eastAsia="宋体" w:cs="Times New Roman"/>
                      <w:b w:val="0"/>
                      <w:bCs w:val="0"/>
                      <w:kern w:val="2"/>
                      <w:sz w:val="21"/>
                      <w:szCs w:val="22"/>
                      <w:highlight w:val="none"/>
                      <w:lang w:val="en-US" w:eastAsia="zh-CN" w:bidi="ar-SA"/>
                    </w:rPr>
                  </w:pPr>
                  <w:r>
                    <w:rPr>
                      <w:rFonts w:hint="eastAsia"/>
                      <w:b w:val="0"/>
                      <w:bCs w:val="0"/>
                      <w:szCs w:val="22"/>
                      <w:highlight w:val="none"/>
                    </w:rPr>
                    <w:t>食品安全卫生事故发生率为：0/月</w:t>
                  </w:r>
                </w:p>
              </w:tc>
              <w:tc>
                <w:tcPr>
                  <w:tcW w:w="1090" w:type="dxa"/>
                  <w:shd w:val="clear" w:color="auto" w:fill="auto"/>
                  <w:vAlign w:val="center"/>
                </w:tcPr>
                <w:p>
                  <w:pPr>
                    <w:jc w:val="center"/>
                    <w:rPr>
                      <w:rFonts w:hint="default" w:ascii="Times New Roman" w:hAnsi="Times New Roman" w:eastAsia="宋体" w:cs="Times New Roman"/>
                      <w:color w:val="000000"/>
                      <w:kern w:val="2"/>
                      <w:sz w:val="21"/>
                      <w:szCs w:val="21"/>
                      <w:highlight w:val="cyan"/>
                      <w:lang w:val="en-GB" w:eastAsia="zh-CN" w:bidi="ar-SA"/>
                    </w:rPr>
                  </w:pPr>
                  <w:r>
                    <w:rPr>
                      <w:rFonts w:hint="eastAsia"/>
                      <w:b w:val="0"/>
                      <w:bCs w:val="0"/>
                      <w:highlight w:val="none"/>
                    </w:rPr>
                    <w:t>月</w:t>
                  </w:r>
                </w:p>
              </w:tc>
              <w:tc>
                <w:tcPr>
                  <w:tcW w:w="1505"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eastAsia="宋体" w:cs="Times New Roman"/>
                      <w:color w:val="000000"/>
                      <w:kern w:val="2"/>
                      <w:sz w:val="21"/>
                      <w:szCs w:val="21"/>
                      <w:highlight w:val="none"/>
                      <w:lang w:val="en-US" w:eastAsia="zh-CN" w:bidi="ar-SA"/>
                    </w:rPr>
                    <w:t>各部门</w:t>
                  </w:r>
                </w:p>
              </w:tc>
              <w:tc>
                <w:tcPr>
                  <w:tcW w:w="369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748" w:type="dxa"/>
                  <w:shd w:val="clear" w:color="auto" w:fill="auto"/>
                  <w:vAlign w:val="center"/>
                </w:tcPr>
                <w:p>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2"/>
                      <w:highlight w:val="none"/>
                      <w:lang w:val="en-US" w:eastAsia="zh-CN" w:bidi="ar-SA"/>
                    </w:rPr>
                  </w:pPr>
                  <w:r>
                    <w:rPr>
                      <w:rFonts w:hint="eastAsia"/>
                      <w:b w:val="0"/>
                      <w:bCs w:val="0"/>
                    </w:rPr>
                    <w:t>客户满意度</w:t>
                  </w:r>
                  <w:r>
                    <w:rPr>
                      <w:rFonts w:hint="eastAsia"/>
                      <w:b w:val="0"/>
                      <w:bCs w:val="0"/>
                      <w:lang w:eastAsia="zh-CN"/>
                    </w:rPr>
                    <w:t>≥</w:t>
                  </w:r>
                  <w:r>
                    <w:rPr>
                      <w:rFonts w:hint="eastAsia"/>
                      <w:b w:val="0"/>
                      <w:bCs w:val="0"/>
                      <w:lang w:val="en-US" w:eastAsia="zh-CN"/>
                    </w:rPr>
                    <w:t>90</w:t>
                  </w:r>
                  <w:r>
                    <w:rPr>
                      <w:rFonts w:hint="eastAsia"/>
                      <w:b w:val="0"/>
                      <w:bCs w:val="0"/>
                    </w:rPr>
                    <w:t xml:space="preserve"> 分</w:t>
                  </w:r>
                </w:p>
              </w:tc>
              <w:tc>
                <w:tcPr>
                  <w:tcW w:w="1090" w:type="dxa"/>
                  <w:shd w:val="clear" w:color="auto" w:fill="auto"/>
                  <w:vAlign w:val="center"/>
                </w:tcPr>
                <w:p>
                  <w:pPr>
                    <w:jc w:val="center"/>
                    <w:rPr>
                      <w:rFonts w:hint="eastAsia" w:ascii="Times New Roman" w:hAnsi="Times New Roman" w:eastAsia="宋体" w:cs="Times New Roman"/>
                      <w:color w:val="000000"/>
                      <w:kern w:val="2"/>
                      <w:sz w:val="21"/>
                      <w:szCs w:val="21"/>
                      <w:highlight w:val="cyan"/>
                      <w:lang w:val="en-US" w:eastAsia="zh-CN" w:bidi="ar-SA"/>
                    </w:rPr>
                  </w:pPr>
                  <w:r>
                    <w:rPr>
                      <w:rFonts w:hint="eastAsia"/>
                      <w:b w:val="0"/>
                      <w:bCs w:val="0"/>
                      <w:highlight w:val="none"/>
                      <w:lang w:eastAsia="zh-CN"/>
                    </w:rPr>
                    <w:t>年</w:t>
                  </w:r>
                </w:p>
              </w:tc>
              <w:tc>
                <w:tcPr>
                  <w:tcW w:w="150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销售部</w:t>
                  </w:r>
                </w:p>
              </w:tc>
              <w:tc>
                <w:tcPr>
                  <w:tcW w:w="369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748" w:type="dxa"/>
                  <w:shd w:val="clear" w:color="auto" w:fill="auto"/>
                  <w:vAlign w:val="center"/>
                </w:tcPr>
                <w:p>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4"/>
                      <w:highlight w:val="none"/>
                      <w:lang w:val="zh-CN" w:eastAsia="zh-CN" w:bidi="ar-SA"/>
                    </w:rPr>
                  </w:pPr>
                  <w:r>
                    <w:rPr>
                      <w:rFonts w:hint="eastAsia"/>
                      <w:color w:val="auto"/>
                    </w:rPr>
                    <w:t>产品及时交付率 100%</w:t>
                  </w:r>
                </w:p>
              </w:tc>
              <w:tc>
                <w:tcPr>
                  <w:tcW w:w="1090" w:type="dxa"/>
                  <w:shd w:val="clear" w:color="auto" w:fill="auto"/>
                  <w:vAlign w:val="center"/>
                </w:tcPr>
                <w:p>
                  <w:pPr>
                    <w:jc w:val="center"/>
                    <w:rPr>
                      <w:rFonts w:hint="eastAsia" w:ascii="Times New Roman" w:hAnsi="Times New Roman" w:eastAsia="宋体" w:cs="Times New Roman"/>
                      <w:color w:val="000000"/>
                      <w:kern w:val="2"/>
                      <w:sz w:val="21"/>
                      <w:szCs w:val="21"/>
                      <w:highlight w:val="cyan"/>
                      <w:lang w:val="en-US" w:eastAsia="zh-CN" w:bidi="ar-SA"/>
                    </w:rPr>
                  </w:pPr>
                  <w:r>
                    <w:rPr>
                      <w:rFonts w:hint="eastAsia"/>
                      <w:b w:val="0"/>
                      <w:bCs w:val="0"/>
                      <w:highlight w:val="none"/>
                    </w:rPr>
                    <w:t>月</w:t>
                  </w:r>
                </w:p>
              </w:tc>
              <w:tc>
                <w:tcPr>
                  <w:tcW w:w="150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销售部</w:t>
                  </w:r>
                </w:p>
              </w:tc>
              <w:tc>
                <w:tcPr>
                  <w:tcW w:w="369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无发生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0" w:type="auto"/>
                  <w:vAlign w:val="center"/>
                </w:tcPr>
                <w:p>
                  <w:pPr>
                    <w:numPr>
                      <w:ilvl w:val="0"/>
                      <w:numId w:val="0"/>
                    </w:numPr>
                    <w:spacing w:line="360" w:lineRule="auto"/>
                    <w:ind w:left="0" w:leftChars="0" w:firstLine="0" w:firstLineChars="0"/>
                    <w:rPr>
                      <w:rFonts w:hint="eastAsia" w:ascii="宋体" w:hAnsi="宋体" w:eastAsia="宋体" w:cs="Times New Roman"/>
                      <w:b w:val="0"/>
                      <w:bCs w:val="0"/>
                      <w:kern w:val="2"/>
                      <w:sz w:val="21"/>
                      <w:szCs w:val="22"/>
                      <w:highlight w:val="none"/>
                      <w:lang w:val="zh-CN" w:eastAsia="zh-CN" w:bidi="ar-SA"/>
                    </w:rPr>
                  </w:pPr>
                  <w:r>
                    <w:rPr>
                      <w:rFonts w:hint="eastAsia" w:ascii="宋体" w:hAnsi="宋体"/>
                      <w:b w:val="0"/>
                      <w:bCs w:val="0"/>
                      <w:szCs w:val="22"/>
                      <w:highlight w:val="none"/>
                    </w:rPr>
                    <w:t>CCP</w:t>
                  </w:r>
                  <w:r>
                    <w:rPr>
                      <w:rFonts w:hint="eastAsia" w:ascii="宋体" w:hAnsi="宋体"/>
                      <w:b w:val="0"/>
                      <w:bCs w:val="0"/>
                      <w:szCs w:val="22"/>
                      <w:highlight w:val="none"/>
                      <w:lang w:val="en-US" w:eastAsia="zh-CN"/>
                    </w:rPr>
                    <w:t>/OPRP</w:t>
                  </w:r>
                  <w:r>
                    <w:rPr>
                      <w:rFonts w:hint="eastAsia" w:ascii="宋体" w:hAnsi="宋体"/>
                      <w:b w:val="0"/>
                      <w:bCs w:val="0"/>
                      <w:szCs w:val="22"/>
                      <w:highlight w:val="none"/>
                    </w:rPr>
                    <w:t>点控制率100％</w:t>
                  </w:r>
                </w:p>
              </w:tc>
              <w:tc>
                <w:tcPr>
                  <w:tcW w:w="0" w:type="auto"/>
                  <w:vAlign w:val="center"/>
                </w:tcPr>
                <w:p>
                  <w:pPr>
                    <w:jc w:val="center"/>
                    <w:rPr>
                      <w:rFonts w:hint="eastAsia" w:ascii="Times New Roman" w:hAnsi="Times New Roman" w:eastAsia="宋体" w:cs="Times New Roman"/>
                      <w:color w:val="000000"/>
                      <w:kern w:val="2"/>
                      <w:sz w:val="21"/>
                      <w:szCs w:val="21"/>
                      <w:highlight w:val="cyan"/>
                      <w:lang w:val="en-US" w:eastAsia="zh-CN" w:bidi="ar-SA"/>
                    </w:rPr>
                  </w:pPr>
                  <w:r>
                    <w:rPr>
                      <w:rFonts w:hint="eastAsia"/>
                      <w:b w:val="0"/>
                      <w:bCs w:val="0"/>
                      <w:highlight w:val="none"/>
                    </w:rPr>
                    <w:t>月</w:t>
                  </w:r>
                </w:p>
              </w:tc>
              <w:tc>
                <w:tcPr>
                  <w:tcW w:w="150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销售部</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bl>
          <w:p>
            <w:pPr>
              <w:pStyle w:val="11"/>
              <w:shd w:val="clear"/>
              <w:ind w:left="0" w:leftChars="0" w:firstLine="0" w:firstLineChars="0"/>
              <w:rPr>
                <w:rFonts w:hint="eastAsia"/>
              </w:rPr>
            </w:pPr>
          </w:p>
          <w:p>
            <w:pPr>
              <w:shd w:val="clear" w:color="auto"/>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但未明确计算方法，已与企业沟通</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eastAsia" w:eastAsia="宋体"/>
                <w:lang w:val="en-US" w:eastAsia="zh-CN"/>
              </w:rPr>
            </w:pPr>
            <w:r>
              <w:rPr>
                <w:rFonts w:hint="eastAsia"/>
              </w:rPr>
              <w:t>组织对相关管理体系进行变更时，变更应按所策划的方式实施；审核周期内的重大变更有：</w:t>
            </w:r>
          </w:p>
          <w:p>
            <w:pPr>
              <w:shd w:val="clear" w:color="auto"/>
              <w:spacing w:before="40" w:after="40"/>
              <w:rPr>
                <w:rFonts w:hint="default"/>
                <w:lang w:val="en-US" w:eastAsia="zh-CN"/>
              </w:rPr>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u w:val="single"/>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restart"/>
            <w:shd w:val="clear" w:color="auto" w:fill="D6E3BC" w:themeFill="accent3" w:themeFillTint="66"/>
          </w:tcPr>
          <w:p>
            <w:pPr>
              <w:shd w:val="clear" w:color="auto"/>
            </w:pPr>
            <w:r>
              <w:rPr>
                <w:rFonts w:hint="eastAsia"/>
              </w:rPr>
              <w:t>支持</w:t>
            </w:r>
          </w:p>
        </w:tc>
        <w:tc>
          <w:tcPr>
            <w:tcW w:w="9282" w:type="dxa"/>
            <w:shd w:val="clear" w:color="auto" w:fill="D6E3BC" w:themeFill="accent3" w:themeFillTint="66"/>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eastAsia"/>
                <w:highlight w:val="none"/>
              </w:rPr>
            </w:pPr>
            <w:r>
              <w:rPr>
                <w:rFonts w:hint="eastAsia"/>
                <w:highlight w:val="none"/>
              </w:rPr>
              <w:t>组织应确定、提供并维护所需的基础设施情况：</w:t>
            </w:r>
          </w:p>
          <w:p>
            <w:pPr>
              <w:pStyle w:val="6"/>
              <w:shd w:val="clear"/>
              <w:rPr>
                <w:rFonts w:hint="eastAsia"/>
                <w:highlight w:val="none"/>
                <w:u w:val="single"/>
              </w:rPr>
            </w:pPr>
          </w:p>
          <w:p>
            <w:pPr>
              <w:rPr>
                <w:rFonts w:hint="default" w:eastAsia="宋体"/>
                <w:highlight w:val="none"/>
                <w:u w:val="single"/>
                <w:lang w:val="en-US" w:eastAsia="zh-CN"/>
              </w:rPr>
            </w:pPr>
            <w:r>
              <w:rPr>
                <w:rFonts w:hint="eastAsia"/>
                <w:highlight w:val="none"/>
                <w:u w:val="single"/>
                <w:lang w:val="en-US" w:eastAsia="zh-CN"/>
              </w:rPr>
              <w:t>销售区店铺</w:t>
            </w:r>
            <w:r>
              <w:rPr>
                <w:rFonts w:hint="eastAsia"/>
                <w:highlight w:val="none"/>
                <w:u w:val="single"/>
              </w:rPr>
              <w:t>面积：</w:t>
            </w:r>
            <w:r>
              <w:rPr>
                <w:u w:val="single"/>
              </w:rPr>
              <w:t>35</w:t>
            </w:r>
            <w:r>
              <w:rPr>
                <w:rFonts w:hint="eastAsia"/>
                <w:u w:val="single"/>
              </w:rPr>
              <w:t>平方米左右</w:t>
            </w:r>
            <w:r>
              <w:rPr>
                <w:rFonts w:hint="eastAsia"/>
                <w:highlight w:val="none"/>
                <w:u w:val="single"/>
              </w:rPr>
              <w:t>；</w:t>
            </w:r>
            <w:r>
              <w:rPr>
                <w:rFonts w:hint="eastAsia"/>
                <w:highlight w:val="none"/>
                <w:u w:val="single"/>
                <w:lang w:val="en-US" w:eastAsia="zh-CN"/>
              </w:rPr>
              <w:t>常温库0个，小型冷库 1个</w:t>
            </w:r>
            <w:r>
              <w:rPr>
                <w:rFonts w:hint="eastAsia"/>
                <w:highlight w:val="none"/>
                <w:u w:val="single"/>
              </w:rPr>
              <w:t>；配送车辆：</w:t>
            </w:r>
            <w:r>
              <w:rPr>
                <w:rFonts w:hint="eastAsia"/>
                <w:highlight w:val="none"/>
                <w:u w:val="single"/>
                <w:lang w:val="en-US" w:eastAsia="zh-CN"/>
              </w:rPr>
              <w:t>2</w:t>
            </w:r>
            <w:r>
              <w:rPr>
                <w:rFonts w:hint="eastAsia"/>
                <w:highlight w:val="none"/>
                <w:u w:val="single"/>
              </w:rPr>
              <w:t xml:space="preserve"> 辆</w:t>
            </w:r>
            <w:r>
              <w:rPr>
                <w:rFonts w:hint="eastAsia"/>
                <w:highlight w:val="none"/>
                <w:u w:val="single"/>
                <w:lang w:eastAsia="zh-CN"/>
              </w:rPr>
              <w:t>（</w:t>
            </w:r>
            <w:r>
              <w:rPr>
                <w:rFonts w:hint="eastAsia"/>
                <w:highlight w:val="none"/>
                <w:u w:val="single"/>
                <w:lang w:val="en-US" w:eastAsia="zh-CN"/>
              </w:rPr>
              <w:t>含1辆冷藏车</w:t>
            </w:r>
            <w:r>
              <w:rPr>
                <w:rFonts w:hint="eastAsia"/>
                <w:highlight w:val="none"/>
                <w:u w:val="single"/>
                <w:lang w:eastAsia="zh-CN"/>
              </w:rPr>
              <w:t>）</w:t>
            </w:r>
            <w:r>
              <w:rPr>
                <w:rFonts w:hint="eastAsia"/>
                <w:highlight w:val="none"/>
                <w:u w:val="single"/>
              </w:rPr>
              <w:t>；</w:t>
            </w:r>
            <w:r>
              <w:rPr>
                <w:rFonts w:hint="eastAsia"/>
                <w:highlight w:val="none"/>
                <w:u w:val="single"/>
                <w:lang w:val="en-US" w:eastAsia="zh-CN"/>
              </w:rPr>
              <w:t>办公室/销售区1 个；检验室0个；</w:t>
            </w:r>
          </w:p>
          <w:p>
            <w:pPr>
              <w:rPr>
                <w:rFonts w:hint="eastAsia"/>
              </w:rPr>
            </w:pPr>
          </w:p>
          <w:p>
            <w:pPr>
              <w:rPr>
                <w:u w:val="single"/>
              </w:rPr>
            </w:pPr>
            <w:r>
              <w:rPr>
                <w:rFonts w:hint="eastAsia"/>
              </w:rPr>
              <w:t>主要生产设备有：</w:t>
            </w:r>
            <w:r>
              <w:rPr>
                <w:rFonts w:hint="eastAsia"/>
                <w:u w:val="single"/>
              </w:rPr>
              <w:t xml:space="preserve">  </w:t>
            </w:r>
            <w:r>
              <w:rPr>
                <w:rFonts w:hint="eastAsia"/>
                <w:szCs w:val="21"/>
                <w:u w:val="single"/>
              </w:rPr>
              <w:t xml:space="preserve"> </w:t>
            </w:r>
            <w:r>
              <w:rPr>
                <w:rFonts w:hint="eastAsia"/>
                <w:szCs w:val="21"/>
                <w:u w:val="single"/>
                <w:lang w:val="en-US" w:eastAsia="zh-CN"/>
              </w:rPr>
              <w:t>小型</w:t>
            </w:r>
            <w:r>
              <w:rPr>
                <w:rFonts w:hint="eastAsia"/>
                <w:szCs w:val="21"/>
                <w:u w:val="single"/>
              </w:rPr>
              <w:t>冷库、电子</w:t>
            </w:r>
            <w:r>
              <w:rPr>
                <w:rFonts w:hint="eastAsia"/>
                <w:szCs w:val="21"/>
                <w:u w:val="single"/>
                <w:lang w:val="en-US" w:eastAsia="zh-CN"/>
              </w:rPr>
              <w:t>台</w:t>
            </w:r>
            <w:r>
              <w:rPr>
                <w:rFonts w:hint="eastAsia"/>
                <w:szCs w:val="21"/>
                <w:u w:val="single"/>
              </w:rPr>
              <w:t>秤、配</w:t>
            </w:r>
            <w:r>
              <w:rPr>
                <w:szCs w:val="21"/>
                <w:u w:val="single"/>
              </w:rPr>
              <w:t>送</w:t>
            </w:r>
            <w:r>
              <w:rPr>
                <w:rFonts w:hint="eastAsia"/>
                <w:szCs w:val="21"/>
                <w:u w:val="single"/>
              </w:rPr>
              <w:t>车辆</w:t>
            </w:r>
            <w:r>
              <w:rPr>
                <w:rFonts w:hint="eastAsia"/>
                <w:szCs w:val="21"/>
                <w:u w:val="single"/>
                <w:lang w:eastAsia="zh-CN"/>
              </w:rPr>
              <w:t>、</w:t>
            </w:r>
            <w:r>
              <w:rPr>
                <w:rFonts w:hint="eastAsia"/>
                <w:szCs w:val="21"/>
                <w:u w:val="single"/>
                <w:lang w:val="en-US" w:eastAsia="zh-CN"/>
              </w:rPr>
              <w:t>灭火器</w:t>
            </w:r>
            <w:r>
              <w:rPr>
                <w:rFonts w:hint="eastAsia"/>
                <w:u w:val="single"/>
              </w:rPr>
              <w:t>（列举2~4种）</w:t>
            </w:r>
          </w:p>
          <w:p>
            <w:pPr>
              <w:pStyle w:val="6"/>
              <w:shd w:val="clear"/>
              <w:rPr>
                <w:rFonts w:hint="eastAsia"/>
                <w:u w:val="single"/>
              </w:rPr>
            </w:pPr>
          </w:p>
          <w:p>
            <w:pPr>
              <w:shd w:val="clear" w:color="auto"/>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r>
              <w:rPr>
                <w:rFonts w:hint="eastAsia"/>
                <w:u w:val="single"/>
                <w:lang w:eastAsia="zh-CN"/>
              </w:rPr>
              <w:t>——</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41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□委托加工  □产品运输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虫鼠害控制服务</w:t>
            </w:r>
            <w:r>
              <w:rPr>
                <w:rFonts w:hint="eastAsia"/>
                <w:highlight w:val="none"/>
                <w:lang w:eastAsia="zh-CN"/>
              </w:rPr>
              <w:t>）</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8 </w:t>
            </w:r>
            <w:r>
              <w:rPr>
                <w:rFonts w:hint="eastAsia"/>
                <w:strike w:val="0"/>
                <w:dstrike w:val="0"/>
                <w:szCs w:val="21"/>
                <w:highlight w:val="none"/>
              </w:rPr>
              <w:t>家，例如：</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rPr>
              <w:t>蔬菜、豆制品，鲜活水产等</w:t>
            </w:r>
            <w:r>
              <w:rPr>
                <w:rFonts w:hint="eastAsia"/>
                <w:color w:val="000000"/>
                <w:kern w:val="0"/>
                <w:sz w:val="20"/>
                <w:highlight w:val="none"/>
                <w:lang w:eastAsia="zh-CN"/>
              </w:rPr>
              <w:t>【</w:t>
            </w:r>
            <w:r>
              <w:rPr>
                <w:rFonts w:hint="eastAsia"/>
              </w:rPr>
              <w:t>湖北优鲜来生鲜食品配送有限公司</w:t>
            </w:r>
            <w:r>
              <w:rPr>
                <w:rFonts w:hint="eastAsia"/>
                <w:color w:val="000000"/>
                <w:kern w:val="0"/>
                <w:sz w:val="20"/>
                <w:highlight w:val="none"/>
                <w:lang w:eastAsia="zh-CN"/>
              </w:rPr>
              <w:t>】、</w:t>
            </w:r>
            <w:r>
              <w:rPr>
                <w:rFonts w:hint="eastAsia"/>
              </w:rPr>
              <w:t>生鲜猪肉产品</w:t>
            </w:r>
            <w:r>
              <w:rPr>
                <w:rFonts w:hint="eastAsia"/>
                <w:highlight w:val="none"/>
                <w:lang w:eastAsia="zh-CN"/>
              </w:rPr>
              <w:t>【</w:t>
            </w:r>
            <w:r>
              <w:rPr>
                <w:rFonts w:hint="eastAsia"/>
              </w:rPr>
              <w:t>湖南颐丰食品有限公司</w:t>
            </w:r>
            <w:r>
              <w:rPr>
                <w:rFonts w:hint="eastAsia"/>
                <w:highlight w:val="none"/>
                <w:lang w:eastAsia="zh-CN"/>
              </w:rPr>
              <w:t>】、</w:t>
            </w:r>
            <w:r>
              <w:rPr>
                <w:rFonts w:hint="eastAsia"/>
              </w:rPr>
              <w:t>生猪屠宰、销售</w:t>
            </w:r>
            <w:r>
              <w:rPr>
                <w:rFonts w:hint="eastAsia"/>
                <w:highlight w:val="none"/>
                <w:lang w:eastAsia="zh-CN"/>
              </w:rPr>
              <w:t>【</w:t>
            </w:r>
            <w:r>
              <w:rPr>
                <w:rFonts w:hint="eastAsia"/>
              </w:rPr>
              <w:t>大冶隆庆肉类加工有限公司</w:t>
            </w:r>
            <w:r>
              <w:rPr>
                <w:rFonts w:hint="eastAsia"/>
                <w:highlight w:val="none"/>
                <w:lang w:eastAsia="zh-CN"/>
              </w:rPr>
              <w:t>】、</w:t>
            </w:r>
            <w:r>
              <w:rPr>
                <w:rFonts w:hint="eastAsia"/>
                <w:bCs/>
              </w:rPr>
              <w:t>米面油、调味品、牛奶、红糖、粉丝等</w:t>
            </w:r>
            <w:r>
              <w:rPr>
                <w:rFonts w:hint="eastAsia"/>
                <w:highlight w:val="none"/>
                <w:u w:val="single"/>
              </w:rPr>
              <w:t xml:space="preserve"> </w:t>
            </w:r>
            <w:r>
              <w:rPr>
                <w:rFonts w:hint="eastAsia"/>
                <w:highlight w:val="none"/>
                <w:lang w:eastAsia="zh-CN"/>
              </w:rPr>
              <w:t>【</w:t>
            </w:r>
            <w:r>
              <w:rPr>
                <w:rFonts w:hint="eastAsia"/>
                <w:bCs/>
              </w:rPr>
              <w:t>武汉恒立辉商贸有限公司</w:t>
            </w:r>
            <w:r>
              <w:rPr>
                <w:rFonts w:hint="eastAsia"/>
                <w:highlight w:val="none"/>
                <w:lang w:eastAsia="zh-CN"/>
              </w:rPr>
              <w:t>】</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主要是塑料周转筐，审核周期内未采购</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u w:val="single"/>
              </w:rPr>
            </w:pPr>
            <w:r>
              <w:rPr>
                <w:rFonts w:hint="eastAsia"/>
                <w:strike w:val="0"/>
                <w:dstrike w:val="0"/>
                <w:color w:val="auto"/>
                <w:szCs w:val="21"/>
                <w:highlight w:val="none"/>
              </w:rPr>
              <w:t>外包的供方——</w:t>
            </w:r>
          </w:p>
          <w:p>
            <w:pPr>
              <w:shd w:val="clear" w:color="auto"/>
              <w:jc w:val="left"/>
              <w:rPr>
                <w:rFonts w:hint="eastAsia"/>
                <w:highlight w:val="none"/>
              </w:rPr>
            </w:pPr>
          </w:p>
          <w:p>
            <w:pPr>
              <w:shd w:val="clear" w:color="auto"/>
              <w:jc w:val="left"/>
              <w:rPr>
                <w:rFonts w:hint="default" w:eastAsia="宋体"/>
                <w:highlight w:val="yellow"/>
                <w:lang w:val="en-US" w:eastAsia="zh-CN"/>
              </w:rPr>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b/>
                <w:bCs/>
                <w:color w:val="FF0000"/>
                <w:highlight w:val="none"/>
                <w:u w:val="single"/>
              </w:rPr>
              <w:t xml:space="preserve"> 查供方管理时，发现：未按照《采购控制程序》提供猪肉供方（含冷冻畜禽肉）大冶隆庆肉类加工有限公司、预包装产品供方武汉恒立辉商贸有限公司、蔬菜供方/水产供方湖北优鲜来生鲜食品配送有限公司进行合格供方评价的证据。</w:t>
            </w:r>
            <w:r>
              <w:rPr>
                <w:rFonts w:hint="eastAsia"/>
                <w:b/>
                <w:bCs/>
                <w:color w:val="FF0000"/>
                <w:highlight w:val="none"/>
                <w:u w:val="single"/>
                <w:lang w:val="en-US" w:eastAsia="zh-CN"/>
              </w:rPr>
              <w:t>见不符合项报告0</w:t>
            </w:r>
            <w:bookmarkStart w:id="41" w:name="_GoBack"/>
            <w:r>
              <w:rPr>
                <w:rFonts w:hint="eastAsia"/>
                <w:b/>
                <w:bCs/>
                <w:color w:val="FF0000"/>
                <w:highlight w:val="none"/>
                <w:u w:val="single"/>
                <w:lang w:val="en-US" w:eastAsia="zh-CN"/>
              </w:rPr>
              <w:t xml:space="preserve">2 </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highlight w:val="none"/>
              </w:rPr>
            </w:pPr>
            <w:r>
              <w:rPr>
                <w:rFonts w:hint="eastAsia"/>
                <w:highlight w:val="none"/>
              </w:rPr>
              <w:t>组织已确定在其控制的工作人员所需具备的能力，并采取措施以获得所需的能力，并评价措施的有效性；</w:t>
            </w:r>
          </w:p>
          <w:p>
            <w:pPr>
              <w:shd w:val="clear" w:color="auto" w:fill="D6E3BC" w:themeFill="accent3" w:themeFillTint="66"/>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hd w:val="clear" w:color="auto" w:fill="D6E3BC" w:themeFill="accent3" w:themeFillTint="66"/>
              <w:rPr>
                <w:highlight w:val="none"/>
              </w:rPr>
            </w:pPr>
            <w:r>
              <w:rPr>
                <w:rFonts w:hint="eastAsia"/>
                <w:highlight w:val="none"/>
              </w:rPr>
              <w:t>对国家规定持证上岗的人员资质进行了有效的管理。</w:t>
            </w:r>
          </w:p>
          <w:p>
            <w:pPr>
              <w:shd w:val="clear" w:color="auto" w:fill="D6E3BC" w:themeFill="accent3" w:themeFillTint="66"/>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D6E3BC" w:themeFill="accent3" w:themeFillTint="66"/>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D6E3BC" w:themeFill="accent3" w:themeFillTint="66"/>
              <w:rPr>
                <w:rFonts w:hint="eastAsia"/>
                <w:highlight w:val="none"/>
              </w:rPr>
            </w:pPr>
            <w:r>
              <w:rPr>
                <w:rFonts w:hint="eastAsia"/>
                <w:highlight w:val="none"/>
              </w:rPr>
              <w:t>确保与产品/服务接触的员工定期（近一年）进行了健康体检，并合格上岗。</w:t>
            </w:r>
          </w:p>
          <w:p>
            <w:pPr>
              <w:pStyle w:val="6"/>
              <w:shd w:val="clear" w:fill="D6E3BC" w:themeFill="accent3" w:themeFillTint="66"/>
              <w:rPr>
                <w:rFonts w:hint="eastAsia"/>
                <w:highlight w:val="yellow"/>
              </w:rPr>
            </w:pPr>
          </w:p>
          <w:tbl>
            <w:tblPr>
              <w:tblStyle w:val="12"/>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60" w:type="dxa"/>
                </w:tcPr>
                <w:p>
                  <w:pPr>
                    <w:keepNext w:val="0"/>
                    <w:keepLines w:val="0"/>
                    <w:suppressLineNumbers w:val="0"/>
                    <w:tabs>
                      <w:tab w:val="center" w:pos="1122"/>
                    </w:tabs>
                    <w:spacing w:before="0" w:beforeAutospacing="0" w:after="0" w:afterAutospacing="0"/>
                    <w:ind w:left="0" w:right="0"/>
                    <w:rPr>
                      <w:rFonts w:hint="default" w:eastAsia="宋体"/>
                      <w:sz w:val="20"/>
                      <w:szCs w:val="18"/>
                      <w:highlight w:val="none"/>
                      <w:lang w:val="en-US" w:eastAsia="zh-CN"/>
                    </w:rPr>
                  </w:pPr>
                  <w:r>
                    <w:rPr>
                      <w:rFonts w:hint="eastAsia"/>
                      <w:szCs w:val="20"/>
                      <w:lang w:val="en-US" w:eastAsia="zh-CN"/>
                    </w:rPr>
                    <w:t>综合部经理</w:t>
                  </w:r>
                </w:p>
              </w:tc>
              <w:tc>
                <w:tcPr>
                  <w:tcW w:w="111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 w:val="20"/>
                      <w:szCs w:val="18"/>
                      <w:highlight w:val="none"/>
                      <w:lang w:val="en-US" w:eastAsia="zh-CN"/>
                    </w:rPr>
                    <w:t>杨雄</w:t>
                  </w:r>
                </w:p>
              </w:tc>
              <w:tc>
                <w:tcPr>
                  <w:tcW w:w="2194"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WK211124014</w:t>
                  </w:r>
                </w:p>
              </w:tc>
              <w:tc>
                <w:tcPr>
                  <w:tcW w:w="185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2022-11-24</w:t>
                  </w:r>
                </w:p>
              </w:tc>
              <w:tc>
                <w:tcPr>
                  <w:tcW w:w="10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销售部业务员</w:t>
                  </w:r>
                </w:p>
              </w:tc>
              <w:tc>
                <w:tcPr>
                  <w:tcW w:w="1110" w:type="dxa"/>
                  <w:vAlign w:val="top"/>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田贤露</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WK211206027</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2022-12-06日</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食安小组组长</w:t>
                  </w:r>
                </w:p>
              </w:tc>
              <w:tc>
                <w:tcPr>
                  <w:tcW w:w="1110" w:type="dxa"/>
                  <w:vAlign w:val="top"/>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秦建峰</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20210004983</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2022-12-15日</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2194"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1850"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1016" w:type="dxa"/>
                  <w:vAlign w:val="top"/>
                </w:tcPr>
                <w:p>
                  <w:pPr>
                    <w:keepNext w:val="0"/>
                    <w:keepLines w:val="0"/>
                    <w:suppressLineNumbers w:val="0"/>
                    <w:spacing w:before="0" w:beforeAutospacing="0" w:after="0" w:afterAutospacing="0"/>
                    <w:ind w:left="0" w:right="0"/>
                    <w:rPr>
                      <w:rFonts w:hint="eastAsia"/>
                      <w:szCs w:val="20"/>
                    </w:rPr>
                  </w:pPr>
                </w:p>
              </w:tc>
            </w:tr>
          </w:tbl>
          <w:p>
            <w:pPr>
              <w:pStyle w:val="6"/>
              <w:shd w:val="clear" w:fill="D6E3BC" w:themeFill="accent3" w:themeFillTint="66"/>
              <w:rPr>
                <w:rFonts w:hint="eastAsia"/>
                <w:highlight w:val="yellow"/>
              </w:rPr>
            </w:pPr>
          </w:p>
          <w:p>
            <w:pPr>
              <w:shd w:val="clear" w:color="auto" w:fill="D6E3BC" w:themeFill="accent3" w:themeFillTint="66"/>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fill="D6E3BC" w:themeFill="accent3" w:themeFillTint="66"/>
              <w:tabs>
                <w:tab w:val="left" w:pos="510"/>
              </w:tabs>
              <w:autoSpaceDE w:val="0"/>
              <w:autoSpaceDN w:val="0"/>
              <w:adjustRightInd w:val="0"/>
              <w:ind w:right="6"/>
              <w:rPr>
                <w:highlight w:val="none"/>
              </w:rPr>
            </w:pPr>
            <w:r>
              <w:rPr>
                <w:rFonts w:hint="eastAsia"/>
                <w:highlight w:val="none"/>
              </w:rPr>
              <w:t>食品安全小组包括以下组员/职能：</w:t>
            </w:r>
          </w:p>
          <w:p>
            <w:pPr>
              <w:shd w:val="clear" w:fill="D6E3BC" w:themeFill="accent3" w:themeFillTint="66"/>
              <w:tabs>
                <w:tab w:val="left" w:pos="510"/>
              </w:tabs>
              <w:autoSpaceDE w:val="0"/>
              <w:autoSpaceDN w:val="0"/>
              <w:adjustRightInd w:val="0"/>
              <w:ind w:right="6"/>
              <w:rPr>
                <w:rFonts w:hint="default" w:eastAsia="宋体"/>
                <w:highlight w:val="none"/>
                <w:lang w:val="en-US" w:eastAsia="zh-CN"/>
              </w:rPr>
            </w:pPr>
            <w:r>
              <w:rPr>
                <w:rFonts w:hint="eastAsia"/>
                <w:highlight w:val="none"/>
              </w:rPr>
              <w:t>☑管理者代表 (食品安全小组组长) 、☑</w:t>
            </w:r>
            <w:r>
              <w:rPr>
                <w:rFonts w:hint="eastAsia"/>
                <w:highlight w:val="none"/>
                <w:lang w:val="en-US" w:eastAsia="zh-CN"/>
              </w:rPr>
              <w:t>销售部</w:t>
            </w:r>
            <w:r>
              <w:rPr>
                <w:rFonts w:hint="eastAsia"/>
                <w:highlight w:val="none"/>
              </w:rPr>
              <w:t xml:space="preserve">人员、 </w:t>
            </w:r>
            <w:r>
              <w:rPr>
                <w:rFonts w:hint="eastAsia"/>
                <w:highlight w:val="none"/>
                <w:lang w:eastAsia="zh-CN"/>
              </w:rPr>
              <w:t>□</w:t>
            </w:r>
            <w:r>
              <w:rPr>
                <w:rFonts w:hint="eastAsia"/>
                <w:highlight w:val="none"/>
                <w:lang w:val="en-US" w:eastAsia="zh-CN"/>
              </w:rPr>
              <w:t>综合办</w:t>
            </w:r>
            <w:r>
              <w:rPr>
                <w:rFonts w:hint="eastAsia"/>
                <w:highlight w:val="none"/>
              </w:rPr>
              <w:t>人员、</w:t>
            </w:r>
            <w:r>
              <w:rPr>
                <w:rFonts w:hint="eastAsia"/>
                <w:highlight w:val="none"/>
                <w:lang w:eastAsia="zh-CN"/>
              </w:rPr>
              <w:sym w:font="Wingdings 2" w:char="0052"/>
            </w:r>
            <w:r>
              <w:rPr>
                <w:rFonts w:hint="eastAsia"/>
                <w:highlight w:val="none"/>
                <w:lang w:val="en-US" w:eastAsia="zh-CN"/>
              </w:rPr>
              <w:t>综合部</w:t>
            </w:r>
            <w:r>
              <w:rPr>
                <w:rFonts w:hint="eastAsia"/>
                <w:highlight w:val="none"/>
              </w:rPr>
              <w:t>人员、</w:t>
            </w:r>
            <w:r>
              <w:rPr>
                <w:rFonts w:hint="eastAsia"/>
                <w:highlight w:val="none"/>
              </w:rPr>
              <w:sym w:font="Wingdings" w:char="00A8"/>
            </w:r>
            <w:r>
              <w:rPr>
                <w:rFonts w:hint="eastAsia"/>
                <w:highlight w:val="none"/>
                <w:lang w:val="en-US" w:eastAsia="zh-CN"/>
              </w:rPr>
              <w:t>客服部</w:t>
            </w:r>
            <w:r>
              <w:rPr>
                <w:rFonts w:hint="eastAsia"/>
                <w:highlight w:val="none"/>
              </w:rPr>
              <w:t>人员、</w:t>
            </w:r>
            <w:r>
              <w:rPr>
                <w:rFonts w:hint="eastAsia"/>
                <w:highlight w:val="none"/>
              </w:rPr>
              <w:sym w:font="Wingdings" w:char="00A8"/>
            </w:r>
            <w:r>
              <w:rPr>
                <w:rFonts w:hint="eastAsia"/>
                <w:highlight w:val="none"/>
                <w:lang w:val="en-US" w:eastAsia="zh-CN"/>
              </w:rPr>
              <w:t xml:space="preserve">业务部人员   </w:t>
            </w:r>
            <w:r>
              <w:rPr>
                <w:rFonts w:hint="eastAsia"/>
                <w:highlight w:val="none"/>
              </w:rPr>
              <w:t xml:space="preserve"> </w:t>
            </w:r>
            <w:r>
              <w:rPr>
                <w:rFonts w:hint="eastAsia"/>
                <w:highlight w:val="none"/>
              </w:rPr>
              <w:sym w:font="Wingdings" w:char="00A8"/>
            </w:r>
            <w:r>
              <w:rPr>
                <w:rFonts w:hint="eastAsia"/>
                <w:highlight w:val="none"/>
                <w:lang w:val="en-US" w:eastAsia="zh-CN"/>
              </w:rPr>
              <w:t>采购部人员</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6"/>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6"/>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restart"/>
            <w:shd w:val="clear" w:color="auto" w:fill="D6E3BC" w:themeFill="accent3" w:themeFillTint="66"/>
          </w:tcPr>
          <w:p>
            <w:pPr>
              <w:shd w:val="clear" w:color="auto"/>
            </w:pPr>
            <w:r>
              <w:rPr>
                <w:rFonts w:hint="eastAsia"/>
              </w:rPr>
              <w:t>运行</w:t>
            </w:r>
          </w:p>
        </w:tc>
        <w:tc>
          <w:tcPr>
            <w:tcW w:w="9282" w:type="dxa"/>
            <w:shd w:val="clear" w:color="auto" w:fill="D6E3BC" w:themeFill="accent3" w:themeFillTint="66"/>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sym w:font="Wingdings 2" w:char="0052"/>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highlight w:val="none"/>
                <w:u w:val="single"/>
              </w:rPr>
            </w:pPr>
            <w:r>
              <w:rPr>
                <w:rFonts w:hint="eastAsia"/>
                <w:highlight w:val="none"/>
              </w:rPr>
              <w:t>组织的《前提方案》时参照法规：</w:t>
            </w:r>
            <w:r>
              <w:rPr>
                <w:rFonts w:hint="eastAsia"/>
                <w:color w:val="000000"/>
                <w:szCs w:val="21"/>
                <w:highlight w:val="none"/>
                <w:u w:val="single"/>
              </w:rPr>
              <w:t>GB 31621-2014 《食品安全国家标准 食品经营过程卫生规范》</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rPr>
                <w:highlight w:val="none"/>
              </w:rPr>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color="auto" w:fill="D6E3BC" w:themeFill="accent3" w:themeFillTint="66"/>
              <w:rPr>
                <w:highlight w:val="none"/>
                <w:u w:val="single"/>
              </w:rPr>
            </w:pPr>
            <w:r>
              <w:rPr>
                <w:rFonts w:hint="eastAsia"/>
                <w:highlight w:val="none"/>
              </w:rPr>
              <w:t xml:space="preserve">《前提方案》的内容包括：☑内容全面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shd w:val="clear" w:color="auto" w:fill="D6E3BC" w:themeFill="accent3" w:themeFillTint="66"/>
              <w:rPr>
                <w:highlight w:val="none"/>
              </w:rPr>
            </w:pPr>
            <w:r>
              <w:rPr>
                <w:highlight w:val="none"/>
              </w:rPr>
              <w:t>a) 建筑物和相关设施的构造与布局；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highlight w:val="none"/>
              </w:rPr>
            </w:pPr>
            <w:r>
              <w:rPr>
                <w:highlight w:val="none"/>
              </w:rPr>
              <w:t>b) 包括工作空间和员工设施在内的厂房布局；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c) 空气、水、能源和其他基础条件的供给；</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highlight w:val="none"/>
              </w:rPr>
            </w:pPr>
            <w:r>
              <w:rPr>
                <w:highlight w:val="none"/>
              </w:rPr>
              <w:t>d) 包括虫害控制、 废弃物和污水处理在内的支持性服务；</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e) 设备的适宜性， 及其清洁、 保养和预防性维护的可实现性；</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highlight w:val="none"/>
              </w:rPr>
            </w:pPr>
            <w:r>
              <w:rPr>
                <w:highlight w:val="none"/>
              </w:rPr>
              <w:t>f) 供应商保证过程（如原料、 辅料、 化学品和包装材料） ；</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eastAsia="宋体"/>
                <w:highlight w:val="none"/>
                <w:lang w:eastAsia="zh-CN"/>
              </w:rPr>
            </w:pPr>
            <w:r>
              <w:rPr>
                <w:highlight w:val="none"/>
              </w:rPr>
              <w:t>g) 来料的接收、储存、发运、运输和产品的搬运；</w:t>
            </w:r>
            <w:r>
              <w:rPr>
                <w:rFonts w:hint="eastAsia"/>
                <w:highlight w:val="none"/>
              </w:rPr>
              <w:t xml:space="preserve">              </w:t>
            </w:r>
            <w:r>
              <w:rPr>
                <w:rFonts w:hint="eastAsia"/>
                <w:highlight w:val="none"/>
                <w:lang w:eastAsia="zh-CN"/>
              </w:rPr>
              <w:sym w:font="Wingdings 2" w:char="0052"/>
            </w:r>
            <w:r>
              <w:rPr>
                <w:rFonts w:hint="eastAsia"/>
                <w:highlight w:val="none"/>
              </w:rPr>
              <w:t xml:space="preserve">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h) 防止交叉污染的措施；</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i) 清洁和消毒；</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sym w:font="Wingdings 2" w:char="0052"/>
            </w:r>
            <w:r>
              <w:rPr>
                <w:rFonts w:hint="eastAsia"/>
                <w:highlight w:val="none"/>
              </w:rPr>
              <w:t>有</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j) 人员卫生；</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k) 产品信息/消费者意识；</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l) 其他有关方面。</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规定PRP的选择、建立、适用的监测和验证的文件化信息。</w:t>
            </w:r>
            <w:r>
              <w:rPr>
                <w:rFonts w:hint="eastAsia"/>
                <w:highlight w:val="none"/>
              </w:rPr>
              <w:t xml:space="preserve">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color="auto" w:fill="D6E3BC" w:themeFill="accent3" w:themeFillTint="66"/>
              <w:rPr>
                <w:highlight w:val="none"/>
              </w:rPr>
            </w:pPr>
            <w:r>
              <w:rPr>
                <w:rFonts w:hint="eastAsia"/>
                <w:highlight w:val="none"/>
              </w:rPr>
              <w:t>组织</w:t>
            </w:r>
            <w:r>
              <w:rPr>
                <w:highlight w:val="none"/>
              </w:rPr>
              <w:t>确保确定适用的法律、法规和顾客要求</w:t>
            </w:r>
            <w:r>
              <w:rPr>
                <w:rFonts w:hint="eastAsia"/>
                <w:highlight w:val="none"/>
              </w:rPr>
              <w:t>，</w:t>
            </w:r>
            <w:r>
              <w:rPr>
                <w:highlight w:val="none"/>
              </w:rPr>
              <w:t>建立和实施可追溯性系统</w:t>
            </w:r>
            <w:r>
              <w:rPr>
                <w:rFonts w:hint="eastAsia"/>
                <w:highlight w:val="none"/>
              </w:rPr>
              <w:t>包括：</w:t>
            </w:r>
          </w:p>
          <w:p>
            <w:pPr>
              <w:shd w:val="clear" w:color="auto" w:fill="D6E3BC" w:themeFill="accent3" w:themeFillTint="66"/>
              <w:rPr>
                <w:highlight w:val="none"/>
              </w:rPr>
            </w:pPr>
            <w:r>
              <w:rPr>
                <w:highlight w:val="none"/>
              </w:rPr>
              <w:t>a）唯一地识别来自供应商的来料</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D6E3BC" w:themeFill="accent3" w:themeFillTint="66"/>
              <w:rPr>
                <w:highlight w:val="none"/>
              </w:rPr>
            </w:pPr>
            <w:r>
              <w:rPr>
                <w:highlight w:val="none"/>
              </w:rPr>
              <w:t>b）接收物料、配料、中间产品批量与最终产品的关系</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D6E3BC" w:themeFill="accent3" w:themeFillTint="66"/>
              <w:rPr>
                <w:rFonts w:hint="eastAsia" w:eastAsia="宋体"/>
                <w:highlight w:val="none"/>
                <w:lang w:eastAsia="zh-CN"/>
              </w:rPr>
            </w:pPr>
            <w:r>
              <w:rPr>
                <w:highlight w:val="none"/>
              </w:rPr>
              <w:t>c）材料/产品的返工</w:t>
            </w:r>
            <w:r>
              <w:rPr>
                <w:rFonts w:hint="eastAsia"/>
                <w:highlight w:val="none"/>
              </w:rPr>
              <w:t xml:space="preserve">                                </w:t>
            </w:r>
            <w:r>
              <w:rPr>
                <w:rFonts w:hint="eastAsia"/>
                <w:highlight w:val="none"/>
                <w:lang w:eastAsia="zh-CN"/>
              </w:rPr>
              <w:t>□</w:t>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eastAsia="zh-CN"/>
              </w:rPr>
              <w:t>（</w:t>
            </w:r>
            <w:r>
              <w:rPr>
                <w:rFonts w:hint="eastAsia"/>
                <w:highlight w:val="none"/>
                <w:lang w:val="en-US" w:eastAsia="zh-CN"/>
              </w:rPr>
              <w:t>不适用</w:t>
            </w:r>
            <w:r>
              <w:rPr>
                <w:rFonts w:hint="eastAsia"/>
                <w:highlight w:val="none"/>
                <w:lang w:eastAsia="zh-CN"/>
              </w:rPr>
              <w:t>）</w:t>
            </w:r>
          </w:p>
          <w:p>
            <w:pPr>
              <w:shd w:val="clear" w:color="auto" w:fill="D6E3BC" w:themeFill="accent3" w:themeFillTint="66"/>
              <w:rPr>
                <w:highlight w:val="none"/>
              </w:rPr>
            </w:pPr>
            <w:r>
              <w:rPr>
                <w:rFonts w:hint="eastAsia"/>
                <w:highlight w:val="none"/>
              </w:rPr>
              <w:t>d）</w:t>
            </w:r>
            <w:r>
              <w:rPr>
                <w:highlight w:val="none"/>
              </w:rPr>
              <w:t>最终产品分销路线的第一阶段。</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D6E3BC" w:themeFill="accent3" w:themeFillTint="66"/>
              <w:rPr>
                <w:rFonts w:hint="default" w:eastAsia="宋体"/>
                <w:highlight w:val="none"/>
                <w:lang w:val="en-US" w:eastAsia="zh-CN"/>
              </w:rPr>
            </w:pPr>
            <w:r>
              <w:rPr>
                <w:rFonts w:hint="eastAsia"/>
                <w:highlight w:val="none"/>
              </w:rPr>
              <w:t>组织的产品保质期为</w:t>
            </w:r>
            <w:r>
              <w:rPr>
                <w:rFonts w:hint="eastAsia"/>
                <w:strike/>
                <w:dstrike w:val="0"/>
                <w:highlight w:val="none"/>
                <w:lang w:eastAsia="zh-CN"/>
              </w:rPr>
              <w:t>——</w:t>
            </w:r>
            <w:r>
              <w:rPr>
                <w:rFonts w:hint="eastAsia"/>
                <w:strike/>
                <w:dstrike w:val="0"/>
                <w:highlight w:val="none"/>
                <w:u w:val="single"/>
                <w:lang w:val="en-US" w:eastAsia="zh-CN"/>
              </w:rPr>
              <w:t>小时； XXX</w:t>
            </w:r>
            <w:r>
              <w:rPr>
                <w:rFonts w:hint="eastAsia"/>
                <w:strike/>
                <w:dstrike w:val="0"/>
                <w:highlight w:val="none"/>
              </w:rPr>
              <w:t>个月</w:t>
            </w:r>
            <w:r>
              <w:rPr>
                <w:rFonts w:hint="eastAsia"/>
                <w:highlight w:val="none"/>
              </w:rPr>
              <w:t>；</w:t>
            </w:r>
            <w:r>
              <w:rPr>
                <w:rFonts w:hint="eastAsia"/>
                <w:highlight w:val="none"/>
                <w:lang w:val="en-US" w:eastAsia="zh-CN"/>
              </w:rPr>
              <w:t>当日采购当日销售，基本控制为0库存。</w:t>
            </w:r>
          </w:p>
          <w:p>
            <w:pPr>
              <w:shd w:val="clear" w:color="auto" w:fill="D6E3BC" w:themeFill="accent3" w:themeFillTint="66"/>
              <w:rPr>
                <w:highlight w:val="none"/>
              </w:rPr>
            </w:pPr>
          </w:p>
          <w:p>
            <w:pPr>
              <w:shd w:val="clear" w:color="auto" w:fill="D6E3BC" w:themeFill="accent3" w:themeFillTint="66"/>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lang w:val="en-US" w:eastAsia="zh-CN"/>
              </w:rPr>
              <w:t>24</w:t>
            </w:r>
            <w:r>
              <w:rPr>
                <w:rFonts w:hint="eastAsia"/>
                <w:highlight w:val="none"/>
              </w:rPr>
              <w:t>个月</w:t>
            </w:r>
            <w:r>
              <w:rPr>
                <w:highlight w:val="none"/>
              </w:rPr>
              <w:t>。</w:t>
            </w:r>
          </w:p>
          <w:p>
            <w:pPr>
              <w:shd w:val="clear" w:color="auto" w:fill="D6E3BC" w:themeFill="accent3" w:themeFillTint="66"/>
              <w:rPr>
                <w:highlight w:val="none"/>
              </w:rPr>
            </w:pPr>
          </w:p>
          <w:p>
            <w:pPr>
              <w:shd w:val="clear" w:color="auto" w:fill="D6E3BC" w:themeFill="accent3" w:themeFillTint="66"/>
              <w:rPr>
                <w:rFonts w:hint="eastAsia"/>
                <w:color w:val="0000FF"/>
                <w:highlight w:val="none"/>
                <w:lang w:val="en-US" w:eastAsia="zh-CN"/>
              </w:rPr>
            </w:pPr>
            <w:r>
              <w:rPr>
                <w:highlight w:val="none"/>
              </w:rPr>
              <w:t>组织</w:t>
            </w: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月</w:t>
            </w:r>
            <w:r>
              <w:rPr>
                <w:rFonts w:hint="eastAsia"/>
                <w:highlight w:val="none"/>
                <w:u w:val="single"/>
                <w:lang w:val="en-US" w:eastAsia="zh-CN"/>
              </w:rPr>
              <w:t xml:space="preserve">10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lang w:eastAsia="zh-CN"/>
              </w:rPr>
              <w:t>——</w:t>
            </w:r>
            <w:r>
              <w:rPr>
                <w:rFonts w:hint="eastAsia"/>
                <w:u w:val="single"/>
              </w:rPr>
              <w:t>召回产品涉及追溯的原始记录未提供，但对模拟涉及的检验和数量等信息都未报告，已现场沟通；</w:t>
            </w:r>
          </w:p>
          <w:p>
            <w:pPr>
              <w:pStyle w:val="11"/>
              <w:shd w:val="clear" w:fill="D6E3BC" w:themeFill="accent3" w:themeFillTint="66"/>
              <w:rPr>
                <w:rFonts w:hint="default"/>
                <w:highlight w:val="none"/>
                <w:lang w:val="en-US" w:eastAsia="zh-CN"/>
              </w:rPr>
            </w:pPr>
          </w:p>
          <w:p>
            <w:pPr>
              <w:shd w:val="clear" w:color="auto" w:fill="D6E3BC" w:themeFill="accent3" w:themeFillTint="66"/>
              <w:jc w:val="left"/>
              <w:rPr>
                <w:highlight w:val="none"/>
              </w:rPr>
            </w:pPr>
            <w:r>
              <w:rPr>
                <w:rFonts w:hint="eastAsia"/>
                <w:highlight w:val="none"/>
              </w:rPr>
              <w:t>组织在生产和服务提供的整个过程中对产品和监视和测量状态进行标识和追溯。</w:t>
            </w:r>
          </w:p>
          <w:p>
            <w:pPr>
              <w:shd w:val="clear" w:color="auto" w:fill="D6E3BC" w:themeFill="accent3" w:themeFillTint="66"/>
              <w:jc w:val="left"/>
              <w:rPr>
                <w:rFonts w:hint="eastAsia"/>
                <w:highlight w:val="none"/>
                <w:lang w:val="en-US" w:eastAsia="zh-CN"/>
              </w:rPr>
            </w:pPr>
            <w:r>
              <w:rPr>
                <w:rFonts w:hint="eastAsia"/>
                <w:highlight w:val="none"/>
              </w:rPr>
              <w:t>采用的标识方式：</w:t>
            </w:r>
            <w:r>
              <w:rPr>
                <w:rFonts w:hint="eastAsia"/>
                <w:highlight w:val="none"/>
                <w:lang w:eastAsia="zh-CN"/>
              </w:rPr>
              <w:t>□</w:t>
            </w:r>
            <w:r>
              <w:rPr>
                <w:rFonts w:hint="eastAsia"/>
                <w:highlight w:val="none"/>
              </w:rPr>
              <w:t xml:space="preserve">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lang w:val="en-US" w:eastAsia="zh-CN"/>
              </w:rPr>
              <w:t xml:space="preserve">周转筐颜色 </w:t>
            </w: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标识卡</w:t>
            </w:r>
          </w:p>
          <w:p>
            <w:pPr>
              <w:shd w:val="clear" w:color="auto" w:fill="D6E3BC" w:themeFill="accent3" w:themeFillTint="66"/>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vAlign w:val="top"/>
          </w:tcPr>
          <w:p>
            <w:pPr>
              <w:shd w:val="clear"/>
              <w:rPr>
                <w:b/>
                <w:bCs/>
                <w:highlight w:val="none"/>
              </w:rPr>
            </w:pPr>
            <w:r>
              <w:rPr>
                <w:rFonts w:hint="eastAsia"/>
                <w:b/>
                <w:bCs/>
                <w:highlight w:val="none"/>
              </w:rPr>
              <w:t>应急准备和响应</w:t>
            </w:r>
          </w:p>
          <w:p>
            <w:pPr>
              <w:shd w:val="clear"/>
              <w:rPr>
                <w:highlight w:val="none"/>
              </w:rPr>
            </w:pPr>
            <w:r>
              <w:rPr>
                <w:rFonts w:hint="eastAsia"/>
                <w:highlight w:val="none"/>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highlight w:val="none"/>
              </w:rPr>
            </w:pPr>
            <w:r>
              <w:rPr>
                <w:rFonts w:hint="eastAsia"/>
                <w:highlight w:val="none"/>
              </w:rPr>
              <w:t>制订的《应急预案》包括：</w:t>
            </w:r>
          </w:p>
          <w:p>
            <w:pPr>
              <w:shd w:val="clear"/>
              <w:rPr>
                <w:highlight w:val="none"/>
              </w:rPr>
            </w:pPr>
            <w:r>
              <w:rPr>
                <w:rFonts w:hint="eastAsia"/>
                <w:highlight w:val="none"/>
              </w:rPr>
              <w:sym w:font="Wingdings" w:char="00FE"/>
            </w:r>
            <w:r>
              <w:rPr>
                <w:rFonts w:hint="eastAsia"/>
                <w:highlight w:val="none"/>
              </w:rPr>
              <w:t>自然灾害</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 xml:space="preserve">环境事故 </w:t>
            </w:r>
            <w:r>
              <w:rPr>
                <w:rFonts w:hint="eastAsia"/>
                <w:highlight w:val="none"/>
              </w:rPr>
              <w:sym w:font="Wingdings" w:char="00FE"/>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A8"/>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A8"/>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其他—食品供应链的突变</w:t>
            </w:r>
          </w:p>
          <w:p>
            <w:pPr>
              <w:shd w:val="clear"/>
              <w:rPr>
                <w:highlight w:val="none"/>
              </w:rPr>
            </w:pPr>
            <w:r>
              <w:rPr>
                <w:rFonts w:hint="eastAsia"/>
                <w:highlight w:val="none"/>
              </w:rPr>
              <w:t>审核周期内发生过紧急情况：</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w:t>
            </w:r>
            <w:r>
              <w:rPr>
                <w:rFonts w:hint="eastAsia"/>
                <w:highlight w:val="none"/>
                <w:u w:val="single"/>
              </w:rPr>
              <w:t xml:space="preserve">                                </w:t>
            </w:r>
            <w:r>
              <w:rPr>
                <w:rFonts w:hint="eastAsia"/>
                <w:highlight w:val="none"/>
              </w:rPr>
              <w:t>。</w:t>
            </w:r>
          </w:p>
          <w:p>
            <w:pPr>
              <w:shd w:val="clear"/>
              <w:rPr>
                <w:highlight w:val="none"/>
              </w:rPr>
            </w:pPr>
          </w:p>
          <w:p>
            <w:pPr>
              <w:shd w:val="clear"/>
              <w:rPr>
                <w:highlight w:val="none"/>
              </w:rPr>
            </w:pP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rPr>
              <w:t>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18  </w:t>
            </w:r>
            <w:r>
              <w:rPr>
                <w:rFonts w:hint="eastAsia"/>
                <w:highlight w:val="none"/>
              </w:rPr>
              <w:t>日进行了</w:t>
            </w:r>
            <w:r>
              <w:rPr>
                <w:rFonts w:hint="eastAsia"/>
                <w:highlight w:val="none"/>
                <w:u w:val="single"/>
              </w:rPr>
              <w:t xml:space="preserve">  针对新冠肺炎应急预案进行演练  </w:t>
            </w:r>
            <w:r>
              <w:rPr>
                <w:rFonts w:hint="eastAsia"/>
                <w:highlight w:val="none"/>
              </w:rPr>
              <w:t>的演练；于</w:t>
            </w:r>
            <w:r>
              <w:rPr>
                <w:rFonts w:hint="eastAsia"/>
                <w:highlight w:val="none"/>
                <w:u w:val="single"/>
              </w:rPr>
              <w:t xml:space="preserve">  </w:t>
            </w:r>
            <w:r>
              <w:rPr>
                <w:rFonts w:hint="eastAsia"/>
                <w:highlight w:val="none"/>
                <w:u w:val="single"/>
                <w:lang w:val="en-US" w:eastAsia="zh-CN"/>
              </w:rPr>
              <w:t>2022</w:t>
            </w:r>
            <w:r>
              <w:rPr>
                <w:rFonts w:hint="eastAsia"/>
                <w:highlight w:val="none"/>
              </w:rPr>
              <w:t>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18</w:t>
            </w:r>
            <w:r>
              <w:rPr>
                <w:rFonts w:hint="eastAsia"/>
                <w:highlight w:val="none"/>
              </w:rPr>
              <w:t>日进行了</w:t>
            </w:r>
            <w:r>
              <w:rPr>
                <w:rFonts w:hint="eastAsia"/>
                <w:highlight w:val="none"/>
                <w:u w:val="single"/>
              </w:rPr>
              <w:t xml:space="preserve"> 消防演习</w:t>
            </w:r>
            <w:r>
              <w:rPr>
                <w:rFonts w:hint="eastAsia"/>
                <w:highlight w:val="none"/>
                <w:u w:val="single"/>
                <w:lang w:val="en-US" w:eastAsia="zh-CN"/>
              </w:rPr>
              <w:t xml:space="preserve"> </w:t>
            </w:r>
            <w:r>
              <w:rPr>
                <w:rFonts w:hint="eastAsia"/>
                <w:highlight w:val="none"/>
              </w:rPr>
              <w:t xml:space="preserve">的演练；并总结了预案的可行性和有效性。 </w:t>
            </w:r>
          </w:p>
          <w:p>
            <w:pPr>
              <w:shd w:val="clear"/>
              <w:rPr>
                <w:rFonts w:hint="eastAsia"/>
                <w:highlight w:val="none"/>
              </w:rPr>
            </w:pPr>
          </w:p>
          <w:p>
            <w:pPr>
              <w:shd w:val="clear"/>
              <w:rPr>
                <w:highlight w:val="none"/>
              </w:rPr>
            </w:pPr>
            <w:r>
              <w:rPr>
                <w:rFonts w:hint="eastAsia"/>
                <w:highlight w:val="none"/>
              </w:rPr>
              <w:t xml:space="preserve">定期评审并修订过程和策划的响应措施，特别是发生紧急情况后或进行试验后； </w:t>
            </w:r>
          </w:p>
          <w:p>
            <w:pPr>
              <w:shd w:val="clear"/>
              <w:rPr>
                <w:highlight w:val="none"/>
              </w:rPr>
            </w:pPr>
          </w:p>
          <w:p>
            <w:pPr>
              <w:shd w:val="clear" w:color="auto"/>
              <w:rPr>
                <w:rFonts w:ascii="Times New Roman" w:hAnsi="Times New Roman" w:eastAsia="宋体" w:cs="Times New Roman"/>
                <w:kern w:val="2"/>
                <w:sz w:val="21"/>
                <w:szCs w:val="24"/>
                <w:highlight w:val="none"/>
                <w:lang w:val="en-US" w:eastAsia="zh-CN" w:bidi="ar-SA"/>
              </w:rPr>
            </w:pPr>
            <w:r>
              <w:rPr>
                <w:rFonts w:hint="eastAsia"/>
                <w:highlight w:val="none"/>
              </w:rPr>
              <w:t>应急准备和响应控制：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vAlign w:val="top"/>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rPr>
                <w:rFonts w:ascii="Times New Roman" w:hAnsi="Times New Roman" w:eastAsia="宋体" w:cs="Times New Roman"/>
                <w:kern w:val="2"/>
                <w:sz w:val="21"/>
                <w:szCs w:val="24"/>
                <w:lang w:val="en-US" w:eastAsia="zh-CN" w:bidi="ar-SA"/>
              </w:rPr>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rPr>
                <w:b/>
                <w:bCs/>
                <w:highlight w:val="none"/>
              </w:rPr>
            </w:pPr>
            <w:r>
              <w:rPr>
                <w:rFonts w:hint="eastAsia"/>
                <w:b/>
                <w:bCs/>
                <w:highlight w:val="none"/>
              </w:rPr>
              <w:t>原材料产品描述</w:t>
            </w:r>
          </w:p>
          <w:p>
            <w:pPr>
              <w:shd w:val="clear"/>
              <w:rPr>
                <w:highlight w:val="none"/>
              </w:rPr>
            </w:pPr>
            <w:r>
              <w:rPr>
                <w:rFonts w:hint="eastAsia"/>
                <w:highlight w:val="none"/>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shd w:val="clear"/>
              <w:rPr>
                <w:color w:val="020FBE"/>
                <w:highlight w:val="none"/>
                <w:lang w:val="en-GB"/>
              </w:rPr>
            </w:pPr>
            <w:r>
              <w:rPr>
                <w:rFonts w:hint="eastAsia"/>
                <w:color w:val="020FBE"/>
                <w:highlight w:val="none"/>
                <w:lang w:val="en-US" w:eastAsia="zh-CN"/>
              </w:rPr>
              <w:t>大米</w:t>
            </w:r>
          </w:p>
          <w:p>
            <w:pPr>
              <w:numPr>
                <w:ilvl w:val="0"/>
                <w:numId w:val="5"/>
              </w:numPr>
              <w:shd w:val="clear"/>
              <w:rPr>
                <w:color w:val="020FBE"/>
                <w:highlight w:val="none"/>
                <w:lang w:val="en-GB"/>
              </w:rPr>
            </w:pPr>
            <w:r>
              <w:rPr>
                <w:rFonts w:hint="eastAsia"/>
                <w:color w:val="020FBE"/>
                <w:highlight w:val="none"/>
                <w:lang w:val="en-US" w:eastAsia="zh-CN"/>
              </w:rPr>
              <w:t>植物油</w:t>
            </w:r>
          </w:p>
          <w:p>
            <w:pPr>
              <w:numPr>
                <w:ilvl w:val="0"/>
                <w:numId w:val="5"/>
              </w:numPr>
              <w:shd w:val="clear"/>
              <w:rPr>
                <w:color w:val="020FBE"/>
                <w:highlight w:val="none"/>
                <w:lang w:val="en-GB"/>
              </w:rPr>
            </w:pPr>
            <w:r>
              <w:rPr>
                <w:rFonts w:hint="eastAsia"/>
                <w:color w:val="020FBE"/>
                <w:highlight w:val="none"/>
                <w:lang w:val="en-US" w:eastAsia="zh-CN"/>
              </w:rPr>
              <w:t>牛奶</w:t>
            </w:r>
          </w:p>
          <w:p>
            <w:pPr>
              <w:numPr>
                <w:ilvl w:val="0"/>
                <w:numId w:val="5"/>
              </w:numPr>
              <w:shd w:val="clear"/>
              <w:rPr>
                <w:color w:val="020FBE"/>
                <w:highlight w:val="none"/>
                <w:lang w:val="en-GB"/>
              </w:rPr>
            </w:pPr>
            <w:r>
              <w:rPr>
                <w:rFonts w:hint="eastAsia"/>
                <w:color w:val="020FBE"/>
                <w:highlight w:val="none"/>
                <w:lang w:val="en-US" w:eastAsia="zh-CN"/>
              </w:rPr>
              <w:t>粉丝</w:t>
            </w:r>
          </w:p>
          <w:p>
            <w:pPr>
              <w:numPr>
                <w:ilvl w:val="0"/>
                <w:numId w:val="5"/>
              </w:numPr>
              <w:shd w:val="clear"/>
              <w:rPr>
                <w:color w:val="020FBE"/>
                <w:highlight w:val="none"/>
                <w:lang w:val="en-GB"/>
              </w:rPr>
            </w:pPr>
            <w:r>
              <w:rPr>
                <w:rFonts w:hint="eastAsia"/>
                <w:color w:val="020FBE"/>
                <w:highlight w:val="none"/>
                <w:lang w:val="en-US" w:eastAsia="zh-CN"/>
              </w:rPr>
              <w:t>红糖</w:t>
            </w:r>
          </w:p>
          <w:p>
            <w:pPr>
              <w:numPr>
                <w:ilvl w:val="0"/>
                <w:numId w:val="5"/>
              </w:numPr>
              <w:shd w:val="clear"/>
              <w:rPr>
                <w:color w:val="020FBE"/>
                <w:highlight w:val="none"/>
                <w:lang w:val="en-GB"/>
              </w:rPr>
            </w:pPr>
            <w:r>
              <w:rPr>
                <w:rFonts w:hint="eastAsia"/>
                <w:color w:val="020FBE"/>
                <w:highlight w:val="none"/>
                <w:lang w:val="en-US" w:eastAsia="zh-CN"/>
              </w:rPr>
              <w:t>鲜冻畜禽肉类</w:t>
            </w:r>
          </w:p>
          <w:p>
            <w:pPr>
              <w:numPr>
                <w:ilvl w:val="0"/>
                <w:numId w:val="5"/>
              </w:numPr>
              <w:shd w:val="clear"/>
              <w:rPr>
                <w:color w:val="020FBE"/>
                <w:highlight w:val="none"/>
                <w:lang w:val="en-GB"/>
              </w:rPr>
            </w:pPr>
            <w:r>
              <w:rPr>
                <w:rFonts w:hint="eastAsia"/>
                <w:color w:val="020FBE"/>
                <w:highlight w:val="none"/>
                <w:lang w:val="en-US" w:eastAsia="zh-CN"/>
              </w:rPr>
              <w:t>水产品类</w:t>
            </w:r>
          </w:p>
          <w:p>
            <w:pPr>
              <w:numPr>
                <w:ilvl w:val="0"/>
                <w:numId w:val="5"/>
              </w:numPr>
              <w:shd w:val="clear"/>
              <w:rPr>
                <w:color w:val="020FBE"/>
                <w:highlight w:val="none"/>
                <w:lang w:val="en-GB"/>
              </w:rPr>
            </w:pPr>
            <w:r>
              <w:rPr>
                <w:rFonts w:hint="eastAsia"/>
                <w:color w:val="020FBE"/>
                <w:highlight w:val="none"/>
                <w:lang w:val="en-US" w:eastAsia="zh-CN"/>
              </w:rPr>
              <w:t>蔬菜类</w:t>
            </w:r>
          </w:p>
          <w:p>
            <w:pPr>
              <w:numPr>
                <w:ilvl w:val="0"/>
                <w:numId w:val="5"/>
              </w:numPr>
              <w:shd w:val="clear"/>
              <w:rPr>
                <w:rFonts w:hint="default"/>
                <w:highlight w:val="none"/>
                <w:lang w:val="en-US"/>
              </w:rPr>
            </w:pPr>
            <w:r>
              <w:rPr>
                <w:rFonts w:hint="eastAsia"/>
                <w:color w:val="020FBE"/>
                <w:highlight w:val="none"/>
                <w:lang w:val="en-US" w:eastAsia="zh-CN"/>
              </w:rPr>
              <w:t>调味料类（老抽、味精、等）</w:t>
            </w:r>
          </w:p>
          <w:p>
            <w:pPr>
              <w:numPr>
                <w:ilvl w:val="0"/>
                <w:numId w:val="5"/>
              </w:numPr>
              <w:shd w:val="clear"/>
              <w:rPr>
                <w:rFonts w:hint="default"/>
                <w:highlight w:val="none"/>
                <w:lang w:val="en-US"/>
              </w:rPr>
            </w:pPr>
            <w:r>
              <w:rPr>
                <w:rFonts w:hint="eastAsia"/>
                <w:color w:val="020FBE"/>
                <w:highlight w:val="none"/>
                <w:lang w:val="en-US" w:eastAsia="zh-CN"/>
              </w:rPr>
              <w:t>周转筐等</w:t>
            </w:r>
          </w:p>
          <w:p>
            <w:pPr>
              <w:numPr>
                <w:ilvl w:val="0"/>
                <w:numId w:val="5"/>
              </w:num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rPr>
                <w:highlight w:val="none"/>
              </w:rPr>
            </w:pPr>
            <w:r>
              <w:rPr>
                <w:rFonts w:hint="eastAsia"/>
                <w:highlight w:val="none"/>
              </w:rPr>
              <w:t>终产品描述</w:t>
            </w:r>
          </w:p>
          <w:p>
            <w:pPr>
              <w:shd w:val="clear"/>
              <w:rPr>
                <w:highlight w:val="none"/>
              </w:rPr>
            </w:pPr>
            <w:r>
              <w:rPr>
                <w:rFonts w:hint="eastAsia"/>
                <w:highlight w:val="none"/>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shd w:val="clear"/>
              <w:rPr>
                <w:color w:val="020FBE"/>
                <w:highlight w:val="none"/>
                <w:lang w:val="en-GB"/>
              </w:rPr>
            </w:pPr>
            <w:r>
              <w:rPr>
                <w:rFonts w:hint="eastAsia"/>
                <w:color w:val="020FBE"/>
                <w:highlight w:val="none"/>
                <w:lang w:val="en-US" w:eastAsia="zh-CN"/>
              </w:rPr>
              <w:t>植物油</w:t>
            </w:r>
          </w:p>
          <w:p>
            <w:pPr>
              <w:numPr>
                <w:ilvl w:val="0"/>
                <w:numId w:val="5"/>
              </w:numPr>
              <w:shd w:val="clear"/>
              <w:rPr>
                <w:color w:val="020FBE"/>
                <w:highlight w:val="none"/>
                <w:lang w:val="en-GB"/>
              </w:rPr>
            </w:pPr>
            <w:r>
              <w:rPr>
                <w:rFonts w:hint="eastAsia"/>
                <w:color w:val="020FBE"/>
                <w:highlight w:val="none"/>
                <w:lang w:val="en-US" w:eastAsia="zh-CN"/>
              </w:rPr>
              <w:t>粉丝</w:t>
            </w:r>
          </w:p>
          <w:p>
            <w:pPr>
              <w:numPr>
                <w:ilvl w:val="0"/>
                <w:numId w:val="5"/>
              </w:numPr>
              <w:shd w:val="clear"/>
              <w:rPr>
                <w:color w:val="020FBE"/>
                <w:highlight w:val="none"/>
                <w:lang w:val="en-GB"/>
              </w:rPr>
            </w:pPr>
            <w:r>
              <w:rPr>
                <w:rFonts w:hint="eastAsia"/>
                <w:color w:val="020FBE"/>
                <w:highlight w:val="none"/>
                <w:lang w:val="en-US" w:eastAsia="zh-CN"/>
              </w:rPr>
              <w:t>红糖</w:t>
            </w:r>
          </w:p>
          <w:p>
            <w:pPr>
              <w:numPr>
                <w:ilvl w:val="0"/>
                <w:numId w:val="5"/>
              </w:numPr>
              <w:shd w:val="clear"/>
              <w:rPr>
                <w:color w:val="020FBE"/>
                <w:highlight w:val="none"/>
                <w:lang w:val="en-GB"/>
              </w:rPr>
            </w:pPr>
            <w:r>
              <w:rPr>
                <w:rFonts w:hint="eastAsia"/>
                <w:color w:val="020FBE"/>
                <w:highlight w:val="none"/>
                <w:lang w:val="en-US" w:eastAsia="zh-CN"/>
              </w:rPr>
              <w:t>鲜冻畜禽肉类</w:t>
            </w:r>
          </w:p>
          <w:p>
            <w:pPr>
              <w:numPr>
                <w:ilvl w:val="0"/>
                <w:numId w:val="5"/>
              </w:numPr>
              <w:shd w:val="clear"/>
              <w:rPr>
                <w:color w:val="020FBE"/>
                <w:highlight w:val="none"/>
                <w:lang w:val="en-GB"/>
              </w:rPr>
            </w:pPr>
            <w:r>
              <w:rPr>
                <w:rFonts w:hint="eastAsia"/>
                <w:color w:val="020FBE"/>
                <w:highlight w:val="none"/>
                <w:lang w:val="en-US" w:eastAsia="zh-CN"/>
              </w:rPr>
              <w:t>水产品类</w:t>
            </w:r>
          </w:p>
          <w:p>
            <w:pPr>
              <w:numPr>
                <w:ilvl w:val="0"/>
                <w:numId w:val="5"/>
              </w:numPr>
              <w:shd w:val="clear"/>
              <w:rPr>
                <w:color w:val="020FBE"/>
                <w:highlight w:val="none"/>
                <w:lang w:val="en-GB"/>
              </w:rPr>
            </w:pPr>
            <w:r>
              <w:rPr>
                <w:rFonts w:hint="eastAsia"/>
                <w:color w:val="020FBE"/>
                <w:highlight w:val="none"/>
                <w:lang w:val="en-US" w:eastAsia="zh-CN"/>
              </w:rPr>
              <w:t>蔬菜类</w:t>
            </w:r>
          </w:p>
          <w:p>
            <w:pPr>
              <w:numPr>
                <w:ilvl w:val="0"/>
                <w:numId w:val="5"/>
              </w:numPr>
              <w:shd w:val="clear"/>
              <w:rPr>
                <w:rFonts w:hint="default"/>
                <w:highlight w:val="none"/>
                <w:lang w:val="en-US"/>
              </w:rPr>
            </w:pPr>
            <w:r>
              <w:rPr>
                <w:rFonts w:hint="eastAsia"/>
                <w:color w:val="020FBE"/>
                <w:highlight w:val="none"/>
                <w:lang w:val="en-US" w:eastAsia="zh-CN"/>
              </w:rPr>
              <w:t>调味料类（老抽、味精、等）</w:t>
            </w:r>
          </w:p>
          <w:p>
            <w:pPr>
              <w:numPr>
                <w:ilvl w:val="0"/>
                <w:numId w:val="5"/>
              </w:numPr>
              <w:shd w:val="clear"/>
              <w:rPr>
                <w:rFonts w:hint="default"/>
                <w:highlight w:val="none"/>
                <w:lang w:val="en-US"/>
              </w:rPr>
            </w:pPr>
            <w:r>
              <w:rPr>
                <w:rFonts w:hint="eastAsia"/>
                <w:color w:val="020FBE"/>
                <w:highlight w:val="none"/>
                <w:lang w:val="en-US" w:eastAsia="zh-CN"/>
              </w:rPr>
              <w:t>周转筐等</w:t>
            </w:r>
          </w:p>
          <w:p>
            <w:pPr>
              <w:numPr>
                <w:ilvl w:val="0"/>
                <w:numId w:val="5"/>
              </w:numPr>
              <w:shd w:val="clear"/>
              <w:rPr>
                <w:highlight w:val="none"/>
                <w:u w:val="none"/>
              </w:rPr>
            </w:pPr>
          </w:p>
          <w:p>
            <w:pPr>
              <w:pStyle w:val="16"/>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学校食堂、企业单位</w:t>
            </w:r>
            <w:r>
              <w:rPr>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6"/>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w:t>
            </w:r>
            <w:r>
              <w:rPr>
                <w:rFonts w:hint="eastAsia"/>
                <w:lang w:eastAsia="zh-CN"/>
              </w:rPr>
              <w:t>（</w:t>
            </w:r>
            <w:r>
              <w:rPr>
                <w:rFonts w:hint="eastAsia"/>
                <w:lang w:val="en-US" w:eastAsia="zh-CN"/>
              </w:rPr>
              <w:t>不涉及</w:t>
            </w:r>
            <w:r>
              <w:rPr>
                <w:rFonts w:hint="eastAsia"/>
                <w:lang w:eastAsia="zh-CN"/>
              </w:rPr>
              <w:t>）</w:t>
            </w:r>
            <w:r>
              <w:t>、包装材料、公用工程</w:t>
            </w:r>
            <w:r>
              <w:rPr>
                <w:rFonts w:hint="eastAsia"/>
                <w:lang w:eastAsia="zh-CN"/>
              </w:rPr>
              <w:t>（</w:t>
            </w:r>
            <w:r>
              <w:rPr>
                <w:rFonts w:hint="eastAsia"/>
                <w:lang w:val="en-US" w:eastAsia="zh-CN"/>
              </w:rPr>
              <w:t>不涉及</w:t>
            </w:r>
            <w:r>
              <w:rPr>
                <w:rFonts w:hint="eastAsia"/>
                <w:lang w:eastAsia="zh-CN"/>
              </w:rPr>
              <w:t>）</w:t>
            </w:r>
            <w:r>
              <w:t>和中间产品投入点；</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6"/>
              </w:numPr>
              <w:shd w:val="clear"/>
              <w:autoSpaceDE w:val="0"/>
              <w:autoSpaceDN w:val="0"/>
              <w:adjustRightInd w:val="0"/>
              <w:rPr>
                <w:b/>
              </w:rPr>
            </w:pPr>
            <w:r>
              <w:rPr>
                <w:rFonts w:hint="eastAsia"/>
              </w:rPr>
              <w:t>工厂位置图</w:t>
            </w:r>
          </w:p>
          <w:p>
            <w:pPr>
              <w:widowControl/>
              <w:numPr>
                <w:ilvl w:val="0"/>
                <w:numId w:val="6"/>
              </w:numPr>
              <w:shd w:val="clear"/>
              <w:autoSpaceDE w:val="0"/>
              <w:autoSpaceDN w:val="0"/>
              <w:adjustRightInd w:val="0"/>
            </w:pPr>
            <w:r>
              <w:rPr>
                <w:rFonts w:hint="eastAsia"/>
              </w:rPr>
              <w:t>厂区平面图</w:t>
            </w:r>
          </w:p>
          <w:p>
            <w:pPr>
              <w:widowControl/>
              <w:numPr>
                <w:ilvl w:val="0"/>
                <w:numId w:val="6"/>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6"/>
              </w:numPr>
              <w:shd w:val="clear"/>
              <w:autoSpaceDE w:val="0"/>
              <w:autoSpaceDN w:val="0"/>
              <w:adjustRightInd w:val="0"/>
              <w:rPr>
                <w:b/>
              </w:rPr>
            </w:pPr>
            <w:r>
              <w:rPr>
                <w:rFonts w:hint="eastAsia"/>
              </w:rPr>
              <w:t>人流、物流、气流图</w:t>
            </w:r>
          </w:p>
          <w:p>
            <w:pPr>
              <w:widowControl/>
              <w:numPr>
                <w:ilvl w:val="0"/>
                <w:numId w:val="6"/>
              </w:numPr>
              <w:shd w:val="clear"/>
              <w:autoSpaceDE w:val="0"/>
              <w:autoSpaceDN w:val="0"/>
              <w:adjustRightInd w:val="0"/>
              <w:rPr>
                <w:b/>
              </w:rPr>
            </w:pPr>
            <w:r>
              <w:rPr>
                <w:rFonts w:hint="eastAsia"/>
              </w:rPr>
              <w:t>供排水网络图</w:t>
            </w:r>
          </w:p>
          <w:p>
            <w:pPr>
              <w:widowControl/>
              <w:numPr>
                <w:ilvl w:val="0"/>
                <w:numId w:val="6"/>
              </w:numPr>
              <w:shd w:val="clear"/>
              <w:autoSpaceDE w:val="0"/>
              <w:autoSpaceDN w:val="0"/>
              <w:adjustRightInd w:val="0"/>
              <w:rPr>
                <w:b/>
              </w:rPr>
            </w:pPr>
            <w:r>
              <w:rPr>
                <w:rFonts w:hint="eastAsia"/>
              </w:rPr>
              <w:t>防虫害分布图</w:t>
            </w:r>
          </w:p>
          <w:p>
            <w:pPr>
              <w:widowControl/>
              <w:numPr>
                <w:ilvl w:val="0"/>
                <w:numId w:val="6"/>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default" w:eastAsia="宋体"/>
                <w:lang w:val="en-US" w:eastAsia="zh-CN"/>
              </w:rPr>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pPr>
            <w:r>
              <w:rPr>
                <w:b/>
                <w:bCs/>
              </w:rPr>
              <w:t>危害分析</w:t>
            </w:r>
          </w:p>
          <w:p>
            <w:pPr>
              <w:shd w:val="clear" w:color="auto" w:fill="D6E3BC" w:themeFill="accent3" w:themeFillTint="66"/>
            </w:pPr>
            <w:r>
              <w:t>食品安全小组根据初步情况进行危害分析，确定需要控制的危害。控制程度应确保食品安全，并在适当情况下采用多种控制措施的组合。</w:t>
            </w:r>
          </w:p>
          <w:p>
            <w:pPr>
              <w:shd w:val="clear" w:color="auto" w:fill="D6E3BC" w:themeFill="accent3" w:themeFillTint="66"/>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D6E3BC" w:themeFill="accent3" w:themeFillTint="66"/>
            </w:pPr>
            <w:r>
              <w:t>a） 根据8.5.1收集的初步信息和数据；</w:t>
            </w:r>
          </w:p>
          <w:p>
            <w:pPr>
              <w:shd w:val="clear" w:color="auto" w:fill="D6E3BC" w:themeFill="accent3" w:themeFillTint="66"/>
            </w:pPr>
            <w:r>
              <w:t>b） 经验</w:t>
            </w:r>
            <w:r>
              <w:rPr>
                <w:rFonts w:hint="eastAsia"/>
              </w:rPr>
              <w:t>（</w:t>
            </w:r>
            <w:r>
              <w:t>可包括熟悉其他设施的产品和/或过程的员工和外部专家提供的信息</w:t>
            </w:r>
            <w:r>
              <w:rPr>
                <w:rFonts w:hint="eastAsia"/>
              </w:rPr>
              <w:t>）</w:t>
            </w:r>
            <w:r>
              <w:t>；</w:t>
            </w:r>
          </w:p>
          <w:p>
            <w:pPr>
              <w:shd w:val="clear" w:color="auto" w:fill="D6E3BC" w:themeFill="accent3" w:themeFillTint="66"/>
            </w:pPr>
            <w:r>
              <w:t>c） 内部和外部信息，尽可能包括流行病学、科学和其他历史数据；</w:t>
            </w:r>
          </w:p>
          <w:p>
            <w:pPr>
              <w:shd w:val="clear" w:color="auto" w:fill="D6E3BC" w:themeFill="accent3" w:themeFillTint="66"/>
            </w:pPr>
            <w:r>
              <w:t>d） 来自食品链的与最终产品、中间产品和食用时食品安全相关的食品安全危害信息；</w:t>
            </w:r>
          </w:p>
          <w:p>
            <w:pPr>
              <w:shd w:val="clear" w:color="auto" w:fill="D6E3BC" w:themeFill="accent3" w:themeFillTint="66"/>
            </w:pPr>
            <w:r>
              <w:t>e） 法律、法规和客户要求。</w:t>
            </w:r>
            <w:r>
              <w:rPr>
                <w:rFonts w:hint="eastAsia"/>
              </w:rPr>
              <w:t>（可包括食品安全目标（FSO））</w:t>
            </w:r>
          </w:p>
          <w:p>
            <w:pPr>
              <w:shd w:val="clear" w:color="auto" w:fill="D6E3BC" w:themeFill="accent3" w:themeFillTint="66"/>
            </w:pPr>
            <w:r>
              <w:t>应充分详细地考虑危</w:t>
            </w:r>
            <w:r>
              <w:rPr>
                <w:rFonts w:hint="eastAsia"/>
              </w:rPr>
              <w:t>害</w:t>
            </w:r>
            <w:r>
              <w:t>，以便进行危险评估和选择适当的控制措施。</w:t>
            </w:r>
          </w:p>
          <w:p>
            <w:pPr>
              <w:shd w:val="clear" w:color="auto" w:fill="D6E3BC" w:themeFill="accent3" w:themeFillTint="66"/>
            </w:pPr>
          </w:p>
          <w:p>
            <w:pPr>
              <w:shd w:val="clear" w:color="auto" w:fill="D6E3BC" w:themeFill="accent3" w:themeFillTint="66"/>
            </w:pPr>
            <w:r>
              <w:t>组织应确定每种食品安全危害可能出现、引入、增加或持续的步骤（如接收原料、加工、分配和交付）。</w:t>
            </w:r>
          </w:p>
          <w:p>
            <w:pPr>
              <w:shd w:val="clear" w:color="auto" w:fill="D6E3BC" w:themeFill="accent3" w:themeFillTint="66"/>
            </w:pPr>
            <w:r>
              <w:t>当识别危害时，组织应考虑：</w:t>
            </w:r>
          </w:p>
          <w:p>
            <w:pPr>
              <w:shd w:val="clear" w:color="auto" w:fill="D6E3BC" w:themeFill="accent3" w:themeFillTint="66"/>
            </w:pPr>
            <w:r>
              <w:t>a） 食物链的前后阶段；</w:t>
            </w:r>
          </w:p>
          <w:p>
            <w:pPr>
              <w:shd w:val="clear" w:color="auto" w:fill="D6E3BC" w:themeFill="accent3" w:themeFillTint="66"/>
            </w:pPr>
            <w:r>
              <w:t>b） 流程图中的所有步骤；</w:t>
            </w:r>
          </w:p>
          <w:p>
            <w:pPr>
              <w:shd w:val="clear" w:color="auto" w:fill="D6E3BC" w:themeFill="accent3" w:themeFillTint="66"/>
            </w:pPr>
            <w:r>
              <w:t>c） 工艺设备、公用设施/服务、工艺环境和人员</w:t>
            </w:r>
          </w:p>
          <w:p>
            <w:pPr>
              <w:shd w:val="clear" w:color="auto" w:fill="D6E3BC" w:themeFill="accent3" w:themeFillTint="66"/>
            </w:pPr>
          </w:p>
          <w:p>
            <w:pPr>
              <w:shd w:val="clear" w:color="auto" w:fill="D6E3BC" w:themeFill="accent3" w:themeFillTint="66"/>
            </w:pPr>
            <w:r>
              <w:t>组织应尽可能确定所识别最终产品的的每种食品安全危害的可接受水平。</w:t>
            </w:r>
          </w:p>
          <w:p>
            <w:pPr>
              <w:shd w:val="clear" w:color="auto" w:fill="D6E3BC" w:themeFill="accent3" w:themeFillTint="66"/>
            </w:pPr>
            <w:r>
              <w:t>在确定可接受的水平时，组织应：</w:t>
            </w:r>
          </w:p>
          <w:p>
            <w:pPr>
              <w:shd w:val="clear" w:color="auto" w:fill="D6E3BC" w:themeFill="accent3" w:themeFillTint="66"/>
            </w:pPr>
            <w:r>
              <w:t>a） 确保确定适用的法律、法规和客户要求；</w:t>
            </w:r>
          </w:p>
          <w:p>
            <w:pPr>
              <w:shd w:val="clear" w:color="auto" w:fill="D6E3BC" w:themeFill="accent3" w:themeFillTint="66"/>
            </w:pPr>
            <w:r>
              <w:t>b） 考虑最终产品的预期用途；</w:t>
            </w:r>
          </w:p>
          <w:p>
            <w:pPr>
              <w:shd w:val="clear" w:color="auto" w:fill="D6E3BC" w:themeFill="accent3" w:themeFillTint="66"/>
            </w:pPr>
            <w:r>
              <w:t>c） 考虑其他相关信息。</w:t>
            </w:r>
          </w:p>
          <w:p>
            <w:pPr>
              <w:shd w:val="clear" w:color="auto" w:fill="D6E3BC" w:themeFill="accent3" w:themeFillTint="66"/>
            </w:pPr>
            <w:r>
              <w:t>组织应保持有关确定可接受水平和证明可接受水平的文件化信息。</w:t>
            </w:r>
          </w:p>
          <w:p>
            <w:pPr>
              <w:shd w:val="clear" w:fill="D6E3BC" w:themeFill="accent3" w:themeFillTint="66"/>
              <w:tabs>
                <w:tab w:val="right" w:pos="3119"/>
              </w:tabs>
              <w:rPr>
                <w:b/>
              </w:rPr>
            </w:pPr>
          </w:p>
          <w:p>
            <w:pPr>
              <w:shd w:val="clear" w:color="auto" w:fill="D6E3BC" w:themeFill="accent3" w:themeFillTint="66"/>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fill="D6E3BC" w:themeFill="accent3" w:themeFillTint="66"/>
              <w:autoSpaceDE w:val="0"/>
              <w:autoSpaceDN w:val="0"/>
              <w:adjustRightInd w:val="0"/>
              <w:rPr>
                <w:b/>
                <w:highlight w:val="none"/>
              </w:rPr>
            </w:pPr>
            <w:r>
              <w:rPr>
                <w:rFonts w:hint="eastAsia"/>
                <w:b/>
                <w:highlight w:val="none"/>
              </w:rPr>
              <w:t>危害评估</w:t>
            </w:r>
          </w:p>
          <w:p>
            <w:pPr>
              <w:shd w:val="clear" w:fill="D6E3BC" w:themeFill="accent3" w:themeFillTint="66"/>
              <w:rPr>
                <w:highlight w:val="none"/>
                <w:lang w:val="en-GB"/>
              </w:rPr>
            </w:pPr>
            <w:r>
              <w:rPr>
                <w:rFonts w:hint="eastAsia"/>
                <w:highlight w:val="none"/>
                <w:lang w:val="en-GB"/>
              </w:rPr>
              <w:t>HACCP小组</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15</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lang w:val="en-GB"/>
              </w:rPr>
              <w:t>针对已识别的潜在危害，评估其发生的严重性和可能性，如果这种潜在危害在该步骤极可能发生且后果严重，被确定为显著危害。</w:t>
            </w:r>
          </w:p>
          <w:p>
            <w:pPr>
              <w:shd w:val="clear"/>
              <w:tabs>
                <w:tab w:val="right" w:pos="3119"/>
              </w:tabs>
              <w:rPr>
                <w:rFonts w:hint="eastAsia"/>
                <w:highlight w:val="none"/>
                <w:lang w:val="en-GB"/>
              </w:rPr>
            </w:pPr>
          </w:p>
          <w:p>
            <w:pPr>
              <w:shd w:val="clear"/>
              <w:tabs>
                <w:tab w:val="right" w:pos="3119"/>
              </w:tabs>
              <w:rPr>
                <w:highlight w:val="none"/>
                <w:lang w:val="en-GB"/>
              </w:rPr>
            </w:pPr>
            <w:r>
              <w:rPr>
                <w:rFonts w:hint="eastAsia"/>
                <w:highlight w:val="none"/>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FE"/>
            </w:r>
            <w:r>
              <w:t xml:space="preserve">贝类毒素 </w:t>
            </w:r>
          </w:p>
          <w:p>
            <w:pPr>
              <w:ind w:firstLine="840" w:firstLineChars="400"/>
            </w:pPr>
            <w:r>
              <w:t xml:space="preserve">  </w:t>
            </w:r>
            <w:r>
              <w:rPr/>
              <w:sym w:font="Wingdings" w:char="00FE"/>
            </w:r>
            <w:r>
              <w:t xml:space="preserve">超量的食品添加剂   </w:t>
            </w:r>
            <w:r>
              <w:rPr/>
              <w:sym w:font="Wingdings" w:char="00A8"/>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pPr>
              <w:rPr>
                <w:rFonts w:hint="eastAsia" w:eastAsia="宋体"/>
                <w:lang w:eastAsia="zh-CN"/>
              </w:rPr>
            </w:pPr>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r>
              <w:rPr>
                <w:rFonts w:hint="eastAsia"/>
                <w:lang w:eastAsia="zh-CN"/>
              </w:rPr>
              <w:t>（</w:t>
            </w:r>
            <w:r>
              <w:rPr>
                <w:rFonts w:hint="eastAsia"/>
                <w:lang w:val="en-US" w:eastAsia="zh-CN"/>
              </w:rPr>
              <w:t>针头等</w:t>
            </w:r>
            <w:r>
              <w:rPr>
                <w:rFonts w:hint="eastAsia"/>
                <w:lang w:eastAsia="zh-CN"/>
              </w:rPr>
              <w:t>）</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highlight w:val="none"/>
              </w:rPr>
            </w:pPr>
            <w:r>
              <w:rPr>
                <w:highlight w:val="none"/>
              </w:rPr>
              <w:t>控制措施的选择和分类</w:t>
            </w:r>
          </w:p>
          <w:p>
            <w:pPr>
              <w:shd w:val="clear" w:color="auto"/>
              <w:rPr>
                <w:highlight w:val="none"/>
              </w:rPr>
            </w:pPr>
            <w:r>
              <w:rPr>
                <w:highlight w:val="none"/>
              </w:rPr>
              <w:t>组织在危害评价的基础上，选择适当的控制措施或控制措施的组合，以防止或将已识别的显著食品安全危害降低到规定的可接受水平。</w:t>
            </w:r>
          </w:p>
          <w:p>
            <w:pPr>
              <w:shd w:val="clear" w:color="auto"/>
              <w:rPr>
                <w:highlight w:val="none"/>
              </w:rPr>
            </w:pPr>
            <w:r>
              <w:rPr>
                <w:highlight w:val="none"/>
              </w:rPr>
              <w:t>组织将选定的识别控制措施分类为OPRP（见3.30）或CCPs。</w:t>
            </w:r>
          </w:p>
          <w:p>
            <w:pPr>
              <w:shd w:val="clear"/>
              <w:tabs>
                <w:tab w:val="right" w:pos="3119"/>
              </w:tabs>
              <w:rPr>
                <w:rFonts w:hint="eastAsia"/>
                <w:highlight w:val="none"/>
              </w:rPr>
            </w:pPr>
            <w:r>
              <w:rPr>
                <w:rFonts w:hint="eastAsia"/>
                <w:highlight w:val="none"/>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3147"/>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3470" w:type="dxa"/>
                  <w:shd w:val="clear" w:color="auto" w:fill="auto"/>
                  <w:vAlign w:val="center"/>
                </w:tcPr>
                <w:p>
                  <w:pPr>
                    <w:jc w:val="center"/>
                    <w:rPr>
                      <w:bCs/>
                      <w:lang w:val="en-GB"/>
                    </w:rPr>
                  </w:pPr>
                  <w:r>
                    <w:rPr>
                      <w:bCs/>
                      <w:lang w:val="en-GB"/>
                    </w:rPr>
                    <w:t>潜在危害</w:t>
                  </w:r>
                </w:p>
              </w:tc>
              <w:tc>
                <w:tcPr>
                  <w:tcW w:w="3589"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GB" w:eastAsia="zh-CN" w:bidi="ar-SA"/>
                    </w:rPr>
                  </w:pPr>
                  <w:r>
                    <w:rPr>
                      <w:bCs/>
                      <w:sz w:val="18"/>
                      <w:szCs w:val="18"/>
                      <w:lang w:val="en-GB"/>
                    </w:rPr>
                    <w:t>鲜、冻</w:t>
                  </w:r>
                  <w:r>
                    <w:rPr>
                      <w:rFonts w:hint="eastAsia"/>
                      <w:bCs/>
                      <w:sz w:val="18"/>
                      <w:szCs w:val="18"/>
                      <w:lang w:val="en-US" w:eastAsia="zh-CN"/>
                    </w:rPr>
                    <w:t>畜禽</w:t>
                  </w:r>
                  <w:r>
                    <w:rPr>
                      <w:bCs/>
                      <w:sz w:val="18"/>
                      <w:szCs w:val="18"/>
                      <w:lang w:val="en-GB"/>
                    </w:rPr>
                    <w:t>肉</w:t>
                  </w:r>
                  <w:r>
                    <w:rPr>
                      <w:rFonts w:hint="eastAsia"/>
                      <w:bCs/>
                      <w:sz w:val="18"/>
                      <w:szCs w:val="18"/>
                      <w:lang w:val="en-US" w:eastAsia="zh-CN"/>
                    </w:rPr>
                    <w:t>类产品</w:t>
                  </w:r>
                </w:p>
              </w:tc>
              <w:tc>
                <w:tcPr>
                  <w:tcW w:w="3470"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FE"/>
                  </w:r>
                  <w:r>
                    <w:rPr>
                      <w:bCs/>
                    </w:rPr>
                    <w:t>作业指导书</w:t>
                  </w:r>
                </w:p>
                <w:p>
                  <w:pPr>
                    <w:jc w:val="both"/>
                    <w:rPr>
                      <w:bCs/>
                      <w:lang w:val="en-GB"/>
                    </w:rPr>
                  </w:pPr>
                  <w:r>
                    <w:rPr/>
                    <w:sym w:font="Wingdings" w:char="00A8"/>
                  </w:r>
                  <w:r>
                    <w:rPr>
                      <w:bCs/>
                    </w:rPr>
                    <w:t>CCPs</w:t>
                  </w:r>
                  <w:r>
                    <w:rPr>
                      <w:rFonts w:hint="eastAsia"/>
                      <w:bCs/>
                      <w:lang w:val="en-US" w:eastAsia="zh-CN"/>
                    </w:rPr>
                    <w:t xml:space="preserve">    </w:t>
                  </w: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rFonts w:hint="eastAsia"/>
                      <w:bCs/>
                      <w:sz w:val="18"/>
                      <w:szCs w:val="18"/>
                      <w:lang w:val="en-US" w:eastAsia="zh-CN"/>
                    </w:rPr>
                    <w:t>冷冻鲜活</w:t>
                  </w:r>
                  <w:r>
                    <w:rPr>
                      <w:bCs/>
                      <w:sz w:val="18"/>
                      <w:szCs w:val="18"/>
                      <w:lang w:val="en-GB"/>
                    </w:rPr>
                    <w:t>水产品</w:t>
                  </w:r>
                </w:p>
              </w:tc>
              <w:tc>
                <w:tcPr>
                  <w:tcW w:w="3470"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both"/>
                    <w:rPr>
                      <w:bCs/>
                      <w:lang w:val="en-GB"/>
                    </w:rPr>
                  </w:pPr>
                  <w:r>
                    <w:rPr/>
                    <w:sym w:font="Wingdings" w:char="00FE"/>
                  </w:r>
                  <w:r>
                    <w:rPr>
                      <w:bCs/>
                    </w:rPr>
                    <w:t>作业指导书</w:t>
                  </w:r>
                  <w:r>
                    <w:rPr>
                      <w:rFonts w:hint="eastAsia"/>
                      <w:bCs/>
                      <w:lang w:val="en-US" w:eastAsia="zh-CN"/>
                    </w:rPr>
                    <w:t xml:space="preserve">   </w:t>
                  </w: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GB" w:eastAsia="zh-CN" w:bidi="ar-SA"/>
                    </w:rPr>
                  </w:pPr>
                  <w:r>
                    <w:rPr>
                      <w:bCs/>
                      <w:sz w:val="18"/>
                      <w:szCs w:val="18"/>
                    </w:rPr>
                    <w:t>调味品（味精、老抽</w:t>
                  </w:r>
                  <w:r>
                    <w:rPr>
                      <w:rFonts w:hint="eastAsia"/>
                      <w:bCs/>
                      <w:sz w:val="18"/>
                      <w:szCs w:val="18"/>
                      <w:lang w:eastAsia="zh-CN"/>
                    </w:rPr>
                    <w:t>、</w:t>
                  </w:r>
                  <w:r>
                    <w:rPr>
                      <w:rFonts w:hint="eastAsia"/>
                      <w:bCs/>
                      <w:sz w:val="18"/>
                      <w:szCs w:val="18"/>
                      <w:lang w:val="en-US" w:eastAsia="zh-CN"/>
                    </w:rPr>
                    <w:t>红糖等</w:t>
                  </w:r>
                  <w:r>
                    <w:rPr>
                      <w:bCs/>
                      <w:sz w:val="18"/>
                      <w:szCs w:val="18"/>
                    </w:rPr>
                    <w:t>）</w:t>
                  </w:r>
                </w:p>
              </w:tc>
              <w:tc>
                <w:tcPr>
                  <w:tcW w:w="3470"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sz w:val="18"/>
                      <w:szCs w:val="18"/>
                    </w:rPr>
                    <w:t>溶剂残留</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both"/>
                    <w:rPr>
                      <w:rFonts w:hint="eastAsia" w:eastAsia="宋体"/>
                      <w:bCs/>
                      <w:lang w:val="en-US" w:eastAsia="zh-CN"/>
                    </w:rPr>
                  </w:pPr>
                  <w:r>
                    <w:rPr/>
                    <w:sym w:font="Wingdings" w:char="00FE"/>
                  </w:r>
                  <w:r>
                    <w:rPr>
                      <w:bCs/>
                    </w:rPr>
                    <w:t>作业指导书</w:t>
                  </w:r>
                  <w:r>
                    <w:rPr>
                      <w:rFonts w:hint="eastAsia"/>
                      <w:bCs/>
                      <w:lang w:val="en-US" w:eastAsia="zh-CN"/>
                    </w:rPr>
                    <w:t xml:space="preserve"> </w:t>
                  </w:r>
                </w:p>
                <w:p>
                  <w:pPr>
                    <w:jc w:val="both"/>
                    <w:rPr>
                      <w:bCs/>
                      <w:lang w:val="en-GB"/>
                    </w:rPr>
                  </w:pP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r>
                    <w:rPr>
                      <w:bCs/>
                      <w:sz w:val="18"/>
                      <w:szCs w:val="18"/>
                    </w:rPr>
                    <w:t>塑料袋</w:t>
                  </w:r>
                  <w:r>
                    <w:rPr>
                      <w:rFonts w:hint="eastAsia"/>
                      <w:bCs/>
                      <w:sz w:val="18"/>
                      <w:szCs w:val="18"/>
                      <w:lang w:eastAsia="zh-CN"/>
                    </w:rPr>
                    <w:t>、</w:t>
                  </w:r>
                  <w:r>
                    <w:rPr>
                      <w:rFonts w:hint="eastAsia"/>
                      <w:bCs/>
                      <w:sz w:val="18"/>
                      <w:szCs w:val="18"/>
                      <w:lang w:val="en-US" w:eastAsia="zh-CN"/>
                    </w:rPr>
                    <w:t>周转筐等</w:t>
                  </w:r>
                </w:p>
              </w:tc>
              <w:tc>
                <w:tcPr>
                  <w:tcW w:w="3470"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FE"/>
                  </w:r>
                  <w:r>
                    <w:rPr>
                      <w:sz w:val="18"/>
                      <w:szCs w:val="18"/>
                    </w:rPr>
                    <w:t>溶剂残留</w:t>
                  </w:r>
                </w:p>
              </w:tc>
              <w:tc>
                <w:tcPr>
                  <w:tcW w:w="3589" w:type="dxa"/>
                  <w:shd w:val="clear" w:color="auto" w:fill="auto"/>
                  <w:vAlign w:val="center"/>
                </w:tcPr>
                <w:p>
                  <w:pPr>
                    <w:jc w:val="both"/>
                  </w:pPr>
                  <w:r>
                    <w:rPr/>
                    <w:sym w:font="Wingdings" w:char="00A8"/>
                  </w:r>
                  <w:r>
                    <w:t>OPRP</w:t>
                  </w:r>
                  <w:r>
                    <w:rPr>
                      <w:rFonts w:hint="eastAsia"/>
                      <w:lang w:val="en-US" w:eastAsia="zh-CN"/>
                    </w:rPr>
                    <w:t xml:space="preserve">     </w:t>
                  </w:r>
                  <w:r>
                    <w:rPr/>
                    <w:sym w:font="Wingdings" w:char="00A8"/>
                  </w:r>
                  <w:r>
                    <w:t>CCPs</w:t>
                  </w:r>
                </w:p>
                <w:p>
                  <w:pPr>
                    <w:jc w:val="both"/>
                    <w:rPr>
                      <w:rFonts w:hint="default" w:eastAsia="宋体"/>
                      <w:lang w:val="en-US" w:eastAsia="zh-CN"/>
                    </w:rPr>
                  </w:pPr>
                  <w:r>
                    <w:rPr/>
                    <w:sym w:font="Wingdings" w:char="00FE"/>
                  </w:r>
                  <w:r>
                    <w:t>作业指导书</w:t>
                  </w:r>
                  <w:r>
                    <w:rPr>
                      <w:rFonts w:hint="eastAsia"/>
                      <w:lang w:val="en-US" w:eastAsia="zh-CN"/>
                    </w:rPr>
                    <w:t>/作业文件</w:t>
                  </w:r>
                </w:p>
                <w:p>
                  <w:pPr>
                    <w:jc w:val="both"/>
                    <w:rPr>
                      <w:lang w:val="en-GB" w:eastAsia="zh-CN"/>
                    </w:rPr>
                  </w:pPr>
                  <w:r>
                    <w:rPr/>
                    <w:sym w:font="Wingdings" w:char="00A8"/>
                  </w:r>
                  <w: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kern w:val="2"/>
                      <w:sz w:val="21"/>
                      <w:lang w:val="en-US" w:eastAsia="zh-CN" w:bidi="ar-SA"/>
                    </w:rPr>
                  </w:pPr>
                  <w:r>
                    <w:rPr>
                      <w:rFonts w:hint="eastAsia"/>
                      <w:lang w:val="en-US" w:eastAsia="zh-CN"/>
                    </w:rPr>
                    <w:t>牛奶</w:t>
                  </w:r>
                </w:p>
              </w:tc>
              <w:tc>
                <w:tcPr>
                  <w:tcW w:w="3470"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589" w:type="dxa"/>
                  <w:shd w:val="clear" w:color="auto" w:fill="auto"/>
                  <w:vAlign w:val="center"/>
                </w:tcPr>
                <w:p>
                  <w:pPr>
                    <w:jc w:val="both"/>
                    <w:rPr>
                      <w:bCs/>
                    </w:rPr>
                  </w:pPr>
                  <w:r>
                    <w:rPr/>
                    <w:sym w:font="Wingdings" w:char="00A8"/>
                  </w:r>
                  <w:r>
                    <w:rPr>
                      <w:bCs/>
                    </w:rPr>
                    <w:t>OPRP</w:t>
                  </w:r>
                  <w:r>
                    <w:rPr>
                      <w:rFonts w:hint="eastAsia"/>
                      <w:bCs/>
                      <w:lang w:val="en-US" w:eastAsia="zh-CN"/>
                    </w:rPr>
                    <w:t xml:space="preserve">   </w:t>
                  </w:r>
                  <w:r>
                    <w:rPr/>
                    <w:sym w:font="Wingdings" w:char="00A8"/>
                  </w:r>
                  <w:r>
                    <w:rPr>
                      <w:bCs/>
                    </w:rPr>
                    <w:t>CCPs</w:t>
                  </w:r>
                </w:p>
                <w:p>
                  <w:pPr>
                    <w:jc w:val="both"/>
                    <w:rPr>
                      <w:bCs/>
                    </w:rPr>
                  </w:pPr>
                  <w:r>
                    <w:rPr/>
                    <w:sym w:font="Wingdings" w:char="00FE"/>
                  </w:r>
                  <w:r>
                    <w:rPr>
                      <w:bCs/>
                    </w:rPr>
                    <w:t>作业指导书</w:t>
                  </w:r>
                </w:p>
                <w:p>
                  <w:pPr>
                    <w:jc w:val="both"/>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蔬菜类</w:t>
                  </w:r>
                </w:p>
              </w:tc>
              <w:tc>
                <w:tcPr>
                  <w:tcW w:w="3470"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589" w:type="dxa"/>
                  <w:shd w:val="clear" w:color="auto" w:fill="auto"/>
                  <w:vAlign w:val="center"/>
                </w:tcPr>
                <w:p>
                  <w:pPr>
                    <w:jc w:val="both"/>
                    <w:rPr>
                      <w:bCs/>
                    </w:rPr>
                  </w:pPr>
                  <w:r>
                    <w:rPr/>
                    <w:sym w:font="Wingdings" w:char="00A8"/>
                  </w:r>
                  <w:r>
                    <w:rPr>
                      <w:bCs/>
                    </w:rPr>
                    <w:t>OPRP</w:t>
                  </w:r>
                  <w:r>
                    <w:rPr>
                      <w:rFonts w:hint="eastAsia"/>
                      <w:bCs/>
                      <w:lang w:val="en-US" w:eastAsia="zh-CN"/>
                    </w:rPr>
                    <w:t xml:space="preserve">    </w:t>
                  </w:r>
                  <w:r>
                    <w:rPr/>
                    <w:sym w:font="Wingdings" w:char="00FE"/>
                  </w:r>
                  <w:r>
                    <w:rPr>
                      <w:bCs/>
                    </w:rPr>
                    <w:t>CCPs</w:t>
                  </w:r>
                </w:p>
                <w:p>
                  <w:pPr>
                    <w:jc w:val="both"/>
                    <w:rPr>
                      <w:bCs/>
                    </w:rPr>
                  </w:pPr>
                  <w:r>
                    <w:rPr/>
                    <w:sym w:font="Wingdings" w:char="00FE"/>
                  </w:r>
                  <w:r>
                    <w:rPr>
                      <w:bCs/>
                    </w:rPr>
                    <w:t>作业指导书</w:t>
                  </w:r>
                  <w:r>
                    <w:rPr>
                      <w:rFonts w:hint="eastAsia"/>
                      <w:lang w:val="en-US" w:eastAsia="zh-CN"/>
                    </w:rPr>
                    <w:t>/作业文件</w:t>
                  </w:r>
                </w:p>
                <w:p>
                  <w:pPr>
                    <w:jc w:val="both"/>
                    <w:rPr>
                      <w:bCs/>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0" w:type="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粮油类（大米、植物油、面粉等）</w:t>
                  </w:r>
                </w:p>
              </w:tc>
              <w:tc>
                <w:tcPr>
                  <w:tcW w:w="3470" w:type="dxa"/>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FE"/>
                  </w:r>
                  <w:r>
                    <w:rPr>
                      <w:sz w:val="18"/>
                      <w:szCs w:val="18"/>
                    </w:rPr>
                    <w:t xml:space="preserve">酸价   </w:t>
                  </w:r>
                  <w:r>
                    <w:rPr>
                      <w:bCs/>
                      <w:sz w:val="18"/>
                      <w:szCs w:val="18"/>
                    </w:rPr>
                    <w:sym w:font="Wingdings" w:char="00FE"/>
                  </w:r>
                  <w:r>
                    <w:rPr>
                      <w:sz w:val="18"/>
                      <w:szCs w:val="18"/>
                    </w:rPr>
                    <w:t>过氧化值</w:t>
                  </w:r>
                </w:p>
              </w:tc>
              <w:tc>
                <w:tcPr>
                  <w:tcW w:w="3589" w:type="dxa"/>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center"/>
                    <w:rPr>
                      <w:bCs/>
                    </w:rPr>
                  </w:pPr>
                  <w:r>
                    <w:rPr/>
                    <w:sym w:font="Wingdings" w:char="00FE"/>
                  </w:r>
                  <w:r>
                    <w:rPr>
                      <w:bCs/>
                    </w:rPr>
                    <w:t>作业指导书</w:t>
                  </w:r>
                  <w:r>
                    <w:rPr>
                      <w:rFonts w:hint="eastAsia"/>
                      <w:lang w:val="en-US" w:eastAsia="zh-CN"/>
                    </w:rPr>
                    <w:t>/作业文件</w:t>
                  </w:r>
                </w:p>
                <w:p>
                  <w:pPr>
                    <w:jc w:val="center"/>
                    <w:rPr>
                      <w:bCs/>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napToGrid w:val="0"/>
                    <w:jc w:val="center"/>
                    <w:rPr>
                      <w:rFonts w:hint="eastAsia" w:ascii="Times New Roman" w:hAnsi="Times New Roman" w:eastAsia="宋体" w:cs="Times New Roman"/>
                      <w:bCs/>
                      <w:kern w:val="2"/>
                      <w:sz w:val="18"/>
                      <w:szCs w:val="18"/>
                      <w:lang w:val="en-US" w:eastAsia="zh-CN" w:bidi="ar-SA"/>
                    </w:rPr>
                  </w:pPr>
                </w:p>
              </w:tc>
              <w:tc>
                <w:tcPr>
                  <w:tcW w:w="3470" w:type="dxa"/>
                  <w:vAlign w:val="center"/>
                </w:tcPr>
                <w:p>
                  <w:pPr>
                    <w:jc w:val="center"/>
                    <w:rPr>
                      <w:rFonts w:ascii="Times New Roman" w:hAnsi="Times New Roman" w:eastAsia="宋体" w:cs="Times New Roman"/>
                      <w:kern w:val="2"/>
                      <w:sz w:val="18"/>
                      <w:szCs w:val="18"/>
                      <w:lang w:val="en-US" w:eastAsia="zh-CN" w:bidi="ar-SA"/>
                    </w:rPr>
                  </w:pPr>
                </w:p>
              </w:tc>
              <w:tc>
                <w:tcPr>
                  <w:tcW w:w="3589" w:type="dxa"/>
                </w:tcPr>
                <w:p>
                  <w:pPr>
                    <w:jc w:val="both"/>
                    <w:rPr>
                      <w:bCs/>
                    </w:rPr>
                  </w:pPr>
                </w:p>
              </w:tc>
            </w:tr>
          </w:tbl>
          <w:p>
            <w:pPr>
              <w:shd w:val="clear"/>
              <w:tabs>
                <w:tab w:val="right" w:pos="3119"/>
              </w:tabs>
              <w:rPr>
                <w:highlight w:val="yellow"/>
                <w:lang w:val="en-GB"/>
              </w:rPr>
            </w:pPr>
          </w:p>
          <w:p>
            <w:pPr>
              <w:shd w:val="clear"/>
              <w:tabs>
                <w:tab w:val="right" w:pos="3119"/>
              </w:tabs>
              <w:rPr>
                <w:rFonts w:hint="eastAsia"/>
                <w:highlight w:val="yellow"/>
                <w:lang w:val="en-GB"/>
              </w:rPr>
            </w:pPr>
            <w:r>
              <w:rPr>
                <w:rFonts w:hint="eastAsia"/>
                <w:highlight w:val="none"/>
                <w:lang w:val="en-GB"/>
              </w:rPr>
              <w:t>原辅材料</w:t>
            </w:r>
            <w:r>
              <w:rPr>
                <w:rFonts w:hint="eastAsia"/>
                <w:highlight w:val="none"/>
              </w:rPr>
              <w:t>危害分析</w:t>
            </w:r>
            <w:r>
              <w:rPr>
                <w:rFonts w:hint="eastAsia"/>
                <w:highlight w:val="none"/>
                <w:lang w:val="en-GB"/>
              </w:rPr>
              <w:t>：</w:t>
            </w:r>
          </w:p>
          <w:p>
            <w:pPr>
              <w:pStyle w:val="11"/>
              <w:rPr>
                <w:rFonts w:hint="eastAsia"/>
                <w:lang w:val="en-GB"/>
              </w:rPr>
            </w:pPr>
          </w:p>
          <w:tbl>
            <w:tblPr>
              <w:tblStyle w:val="1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3105"/>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281" w:type="dxa"/>
                  <w:shd w:val="clear" w:color="auto" w:fill="auto"/>
                  <w:vAlign w:val="center"/>
                </w:tcPr>
                <w:p>
                  <w:pPr>
                    <w:jc w:val="center"/>
                    <w:rPr>
                      <w:bCs/>
                      <w:sz w:val="18"/>
                      <w:szCs w:val="18"/>
                    </w:rPr>
                  </w:pPr>
                  <w:r>
                    <w:rPr>
                      <w:bCs/>
                      <w:sz w:val="18"/>
                      <w:szCs w:val="18"/>
                    </w:rPr>
                    <w:t>主要原料名称</w:t>
                  </w:r>
                </w:p>
              </w:tc>
              <w:tc>
                <w:tcPr>
                  <w:tcW w:w="3105" w:type="dxa"/>
                  <w:shd w:val="clear" w:color="auto" w:fill="auto"/>
                  <w:vAlign w:val="center"/>
                </w:tcPr>
                <w:p>
                  <w:pPr>
                    <w:jc w:val="center"/>
                    <w:rPr>
                      <w:bCs/>
                      <w:sz w:val="18"/>
                      <w:szCs w:val="18"/>
                    </w:rPr>
                  </w:pPr>
                  <w:r>
                    <w:rPr>
                      <w:bCs/>
                      <w:sz w:val="18"/>
                      <w:szCs w:val="18"/>
                    </w:rPr>
                    <w:t>潜在危害</w:t>
                  </w:r>
                </w:p>
              </w:tc>
              <w:tc>
                <w:tcPr>
                  <w:tcW w:w="3212"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81" w:type="dxa"/>
                  <w:shd w:val="clear" w:color="auto" w:fill="auto"/>
                  <w:vAlign w:val="center"/>
                </w:tcPr>
                <w:p>
                  <w:pPr>
                    <w:autoSpaceDE w:val="0"/>
                    <w:autoSpaceDN w:val="0"/>
                    <w:adjustRightInd w:val="0"/>
                    <w:jc w:val="center"/>
                    <w:rPr>
                      <w:rFonts w:hint="default" w:eastAsia="宋体"/>
                      <w:bCs/>
                      <w:sz w:val="18"/>
                      <w:szCs w:val="18"/>
                      <w:lang w:val="en-US" w:eastAsia="zh-CN"/>
                    </w:rPr>
                  </w:pPr>
                  <w:r>
                    <w:rPr>
                      <w:bCs/>
                      <w:sz w:val="18"/>
                      <w:szCs w:val="18"/>
                      <w:lang w:val="en-GB"/>
                    </w:rPr>
                    <w:t>鲜、冻</w:t>
                  </w:r>
                  <w:r>
                    <w:rPr>
                      <w:rFonts w:hint="eastAsia"/>
                      <w:bCs/>
                      <w:sz w:val="18"/>
                      <w:szCs w:val="18"/>
                      <w:lang w:val="en-US" w:eastAsia="zh-CN"/>
                    </w:rPr>
                    <w:t>畜禽</w:t>
                  </w:r>
                  <w:r>
                    <w:rPr>
                      <w:bCs/>
                      <w:sz w:val="18"/>
                      <w:szCs w:val="18"/>
                      <w:lang w:val="en-GB"/>
                    </w:rPr>
                    <w:t>肉</w:t>
                  </w:r>
                  <w:r>
                    <w:rPr>
                      <w:rFonts w:hint="eastAsia"/>
                      <w:bCs/>
                      <w:sz w:val="18"/>
                      <w:szCs w:val="18"/>
                      <w:lang w:val="en-US" w:eastAsia="zh-CN"/>
                    </w:rPr>
                    <w:t>类产品</w:t>
                  </w:r>
                </w:p>
              </w:tc>
              <w:tc>
                <w:tcPr>
                  <w:tcW w:w="3105"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12"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11"/>
                    <w:tabs>
                      <w:tab w:val="left" w:pos="540"/>
                    </w:tabs>
                    <w:ind w:left="0" w:firstLine="0" w:firstLineChars="0"/>
                    <w:rPr>
                      <w:sz w:val="18"/>
                      <w:szCs w:val="18"/>
                    </w:rPr>
                  </w:pPr>
                  <w:r>
                    <w:rPr>
                      <w:rFonts w:hint="eastAsia" w:ascii="Times New Roman" w:hAnsi="Times New Roman"/>
                      <w:bCs/>
                      <w:sz w:val="18"/>
                      <w:szCs w:val="18"/>
                    </w:rPr>
                    <w:t>（动物检疫证明、肉品质合格证</w:t>
                  </w:r>
                  <w:r>
                    <w:rPr>
                      <w:rFonts w:hint="eastAsia" w:ascii="Times New Roman" w:hAnsi="Times New Roman"/>
                      <w:bCs/>
                      <w:sz w:val="18"/>
                      <w:szCs w:val="18"/>
                      <w:lang w:val="en-US" w:eastAsia="zh-CN"/>
                    </w:rPr>
                    <w:t>等</w:t>
                  </w:r>
                  <w:r>
                    <w:rPr>
                      <w:rFonts w:hint="eastAsia" w:ascii="Times New Roman" w:hAnsi="Times New Roman"/>
                      <w:bCs/>
                      <w:sz w:val="18"/>
                      <w:szCs w:val="18"/>
                    </w:rPr>
                    <w:t>）</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81"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US" w:eastAsia="zh-CN"/>
                    </w:rPr>
                    <w:t>冷冻鲜活</w:t>
                  </w:r>
                  <w:r>
                    <w:rPr>
                      <w:bCs/>
                      <w:sz w:val="18"/>
                      <w:szCs w:val="18"/>
                      <w:lang w:val="en-GB"/>
                    </w:rPr>
                    <w:t>水产品</w:t>
                  </w:r>
                </w:p>
              </w:tc>
              <w:tc>
                <w:tcPr>
                  <w:tcW w:w="3105"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12"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FE"/>
                  </w:r>
                  <w:r>
                    <w:rPr>
                      <w:bCs/>
                      <w:sz w:val="18"/>
                      <w:szCs w:val="18"/>
                    </w:rPr>
                    <w:t>企业自行检测</w:t>
                  </w:r>
                  <w:r>
                    <w:rPr>
                      <w:rFonts w:hint="eastAsia"/>
                      <w:bCs/>
                      <w:sz w:val="18"/>
                      <w:szCs w:val="18"/>
                      <w:lang w:eastAsia="zh-CN"/>
                    </w:rPr>
                    <w:t>（</w:t>
                  </w:r>
                  <w:r>
                    <w:rPr>
                      <w:rFonts w:hint="eastAsia"/>
                      <w:bCs/>
                      <w:sz w:val="18"/>
                      <w:szCs w:val="18"/>
                      <w:lang w:val="en-US" w:eastAsia="zh-CN"/>
                    </w:rPr>
                    <w:t>每年委外检测1次</w:t>
                  </w:r>
                  <w:r>
                    <w:rPr>
                      <w:rFonts w:hint="eastAsia"/>
                      <w:bCs/>
                      <w:sz w:val="18"/>
                      <w:szCs w:val="18"/>
                      <w:lang w:eastAsia="zh-CN"/>
                    </w:rPr>
                    <w:t>）</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81" w:type="dxa"/>
                  <w:shd w:val="clear" w:color="auto" w:fill="auto"/>
                  <w:vAlign w:val="center"/>
                </w:tcPr>
                <w:p>
                  <w:pPr>
                    <w:snapToGrid w:val="0"/>
                    <w:jc w:val="center"/>
                    <w:rPr>
                      <w:bCs/>
                      <w:sz w:val="18"/>
                      <w:szCs w:val="18"/>
                    </w:rPr>
                  </w:pPr>
                  <w:r>
                    <w:rPr>
                      <w:bCs/>
                      <w:sz w:val="18"/>
                      <w:szCs w:val="18"/>
                    </w:rPr>
                    <w:t>调味品（味精、老抽</w:t>
                  </w:r>
                  <w:r>
                    <w:rPr>
                      <w:rFonts w:hint="eastAsia"/>
                      <w:bCs/>
                      <w:sz w:val="18"/>
                      <w:szCs w:val="18"/>
                      <w:lang w:eastAsia="zh-CN"/>
                    </w:rPr>
                    <w:t>、</w:t>
                  </w:r>
                  <w:r>
                    <w:rPr>
                      <w:rFonts w:hint="eastAsia"/>
                      <w:bCs/>
                      <w:sz w:val="18"/>
                      <w:szCs w:val="18"/>
                      <w:lang w:val="en-US" w:eastAsia="zh-CN"/>
                    </w:rPr>
                    <w:t>红糖等</w:t>
                  </w:r>
                  <w:r>
                    <w:rPr>
                      <w:bCs/>
                      <w:sz w:val="18"/>
                      <w:szCs w:val="18"/>
                    </w:rPr>
                    <w:t>）</w:t>
                  </w:r>
                </w:p>
              </w:tc>
              <w:tc>
                <w:tcPr>
                  <w:tcW w:w="3105"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12"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81" w:type="dxa"/>
                  <w:shd w:val="clear" w:color="auto" w:fill="auto"/>
                  <w:vAlign w:val="center"/>
                </w:tcPr>
                <w:p>
                  <w:pPr>
                    <w:snapToGrid w:val="0"/>
                    <w:jc w:val="center"/>
                    <w:rPr>
                      <w:bCs/>
                      <w:sz w:val="18"/>
                      <w:szCs w:val="18"/>
                    </w:rPr>
                  </w:pPr>
                  <w:r>
                    <w:rPr>
                      <w:bCs/>
                      <w:sz w:val="18"/>
                      <w:szCs w:val="18"/>
                    </w:rPr>
                    <w:t>塑料袋</w:t>
                  </w:r>
                </w:p>
              </w:tc>
              <w:tc>
                <w:tcPr>
                  <w:tcW w:w="3105"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12"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81" w:type="dxa"/>
                  <w:shd w:val="clear" w:color="auto" w:fill="auto"/>
                  <w:vAlign w:val="center"/>
                </w:tcPr>
                <w:p>
                  <w:pPr>
                    <w:snapToGrid w:val="0"/>
                    <w:jc w:val="center"/>
                    <w:rPr>
                      <w:rFonts w:hint="default"/>
                      <w:lang w:val="en-US" w:eastAsia="zh-CN"/>
                    </w:rPr>
                  </w:pPr>
                  <w:r>
                    <w:rPr>
                      <w:rFonts w:hint="eastAsia"/>
                      <w:lang w:val="en-US" w:eastAsia="zh-CN"/>
                    </w:rPr>
                    <w:t>牛奶</w:t>
                  </w:r>
                </w:p>
              </w:tc>
              <w:tc>
                <w:tcPr>
                  <w:tcW w:w="3105"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12"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81" w:type="dxa"/>
                  <w:shd w:val="clear" w:color="auto" w:fill="auto"/>
                  <w:vAlign w:val="center"/>
                </w:tcPr>
                <w:p>
                  <w:pPr>
                    <w:snapToGrid w:val="0"/>
                    <w:jc w:val="center"/>
                    <w:rPr>
                      <w:rFonts w:hint="default" w:eastAsia="宋体"/>
                      <w:bCs/>
                      <w:sz w:val="18"/>
                      <w:szCs w:val="18"/>
                      <w:lang w:val="en-US" w:eastAsia="zh-CN"/>
                    </w:rPr>
                  </w:pPr>
                  <w:r>
                    <w:rPr>
                      <w:rFonts w:hint="eastAsia"/>
                      <w:bCs/>
                      <w:sz w:val="18"/>
                      <w:szCs w:val="18"/>
                      <w:lang w:val="en-US" w:eastAsia="zh-CN"/>
                    </w:rPr>
                    <w:t>蔬菜类</w:t>
                  </w:r>
                </w:p>
              </w:tc>
              <w:tc>
                <w:tcPr>
                  <w:tcW w:w="3105"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12"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color w:val="FF0000"/>
                      <w:kern w:val="2"/>
                      <w:sz w:val="18"/>
                      <w:szCs w:val="18"/>
                      <w:lang w:val="en-US"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81" w:type="dxa"/>
                  <w:shd w:val="clear" w:color="auto" w:fill="auto"/>
                  <w:vAlign w:val="center"/>
                </w:tcPr>
                <w:p>
                  <w:pPr>
                    <w:snapToGrid w:val="0"/>
                    <w:jc w:val="center"/>
                    <w:rPr>
                      <w:rFonts w:hint="default"/>
                      <w:bCs/>
                      <w:sz w:val="18"/>
                      <w:szCs w:val="18"/>
                      <w:lang w:val="en-US" w:eastAsia="zh-CN"/>
                    </w:rPr>
                  </w:pPr>
                  <w:r>
                    <w:rPr>
                      <w:rFonts w:hint="eastAsia"/>
                      <w:bCs/>
                      <w:sz w:val="18"/>
                      <w:szCs w:val="18"/>
                      <w:lang w:val="en-US" w:eastAsia="zh-CN"/>
                    </w:rPr>
                    <w:t>粮油类（大米、植物油、面粉等）</w:t>
                  </w:r>
                </w:p>
              </w:tc>
              <w:tc>
                <w:tcPr>
                  <w:tcW w:w="3105"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FE"/>
                  </w:r>
                  <w:r>
                    <w:rPr>
                      <w:sz w:val="18"/>
                      <w:szCs w:val="18"/>
                    </w:rPr>
                    <w:t xml:space="preserve">酸价   </w:t>
                  </w:r>
                  <w:r>
                    <w:rPr>
                      <w:bCs/>
                      <w:sz w:val="18"/>
                      <w:szCs w:val="18"/>
                    </w:rPr>
                    <w:sym w:font="Wingdings" w:char="00FE"/>
                  </w:r>
                  <w:r>
                    <w:rPr>
                      <w:sz w:val="18"/>
                      <w:szCs w:val="18"/>
                    </w:rPr>
                    <w:t>过氧化值</w:t>
                  </w:r>
                </w:p>
              </w:tc>
              <w:tc>
                <w:tcPr>
                  <w:tcW w:w="3212"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color w:val="FF0000"/>
                      <w:kern w:val="2"/>
                      <w:sz w:val="18"/>
                      <w:szCs w:val="18"/>
                      <w:lang w:val="en-US"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81"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p>
              </w:tc>
              <w:tc>
                <w:tcPr>
                  <w:tcW w:w="3105" w:type="dxa"/>
                  <w:shd w:val="clear" w:color="auto" w:fill="auto"/>
                  <w:vAlign w:val="center"/>
                </w:tcPr>
                <w:p>
                  <w:pPr>
                    <w:jc w:val="center"/>
                    <w:rPr>
                      <w:rFonts w:ascii="Times New Roman" w:hAnsi="Times New Roman" w:eastAsia="宋体" w:cs="Times New Roman"/>
                      <w:kern w:val="2"/>
                      <w:sz w:val="18"/>
                      <w:szCs w:val="18"/>
                      <w:lang w:val="en-US" w:eastAsia="zh-CN" w:bidi="ar-SA"/>
                    </w:rPr>
                  </w:pPr>
                </w:p>
              </w:tc>
              <w:tc>
                <w:tcPr>
                  <w:tcW w:w="3212" w:type="dxa"/>
                  <w:shd w:val="clear" w:color="auto" w:fill="auto"/>
                  <w:vAlign w:val="center"/>
                </w:tcPr>
                <w:p>
                  <w:pPr>
                    <w:autoSpaceDE w:val="0"/>
                    <w:autoSpaceDN w:val="0"/>
                    <w:adjustRightInd w:val="0"/>
                    <w:jc w:val="center"/>
                    <w:rPr>
                      <w:rFonts w:hint="eastAsia" w:ascii="Times New Roman" w:hAnsi="Times New Roman" w:eastAsia="宋体" w:cs="Times New Roman"/>
                      <w:bCs/>
                      <w:color w:val="FF0000"/>
                      <w:kern w:val="2"/>
                      <w:sz w:val="18"/>
                      <w:szCs w:val="18"/>
                      <w:lang w:val="en-US" w:eastAsia="zh-CN" w:bidi="ar-SA"/>
                    </w:rPr>
                  </w:pPr>
                </w:p>
              </w:tc>
            </w:tr>
          </w:tbl>
          <w:p>
            <w:pPr>
              <w:pStyle w:val="3"/>
              <w:shd w:val="clear"/>
              <w:ind w:left="0" w:leftChars="0"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1026"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color w:val="0000FF"/>
                <w:lang w:val="en-US" w:eastAsia="zh-CN"/>
              </w:rPr>
              <w:t>——审核周期内未发生修订</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7619"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75"/>
              <w:gridCol w:w="1933"/>
              <w:gridCol w:w="1911"/>
              <w:gridCol w:w="3226"/>
              <w:gridCol w:w="4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575"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控制措施</w:t>
                  </w:r>
                </w:p>
              </w:tc>
              <w:tc>
                <w:tcPr>
                  <w:tcW w:w="1933"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所控制</w:t>
                  </w:r>
                  <w:r>
                    <w:rPr>
                      <w:rFonts w:hint="eastAsia"/>
                      <w:b/>
                      <w:color w:val="000000"/>
                      <w:sz w:val="21"/>
                      <w:szCs w:val="21"/>
                      <w:highlight w:val="none"/>
                      <w:lang w:val="en-US" w:eastAsia="zh-CN"/>
                    </w:rPr>
                    <w:t>显著</w:t>
                  </w:r>
                  <w:r>
                    <w:rPr>
                      <w:rFonts w:hint="eastAsia"/>
                      <w:b/>
                      <w:color w:val="000000"/>
                      <w:sz w:val="21"/>
                      <w:szCs w:val="21"/>
                      <w:highlight w:val="none"/>
                    </w:rPr>
                    <w:t>危害</w:t>
                  </w:r>
                </w:p>
              </w:tc>
              <w:tc>
                <w:tcPr>
                  <w:tcW w:w="1911" w:type="dxa"/>
                  <w:tcBorders>
                    <w:tl2br w:val="nil"/>
                    <w:tr2bl w:val="nil"/>
                  </w:tcBorders>
                  <w:tcMar>
                    <w:left w:w="0" w:type="dxa"/>
                    <w:right w:w="0" w:type="dxa"/>
                  </w:tcMar>
                  <w:vAlign w:val="center"/>
                </w:tcPr>
                <w:p>
                  <w:pPr>
                    <w:shd w:val="clear"/>
                    <w:spacing w:line="300" w:lineRule="exact"/>
                    <w:jc w:val="center"/>
                    <w:rPr>
                      <w:rFonts w:hint="default" w:eastAsia="宋体"/>
                      <w:b/>
                      <w:color w:val="000000"/>
                      <w:sz w:val="21"/>
                      <w:szCs w:val="21"/>
                      <w:highlight w:val="none"/>
                      <w:lang w:val="en-US" w:eastAsia="zh-CN"/>
                    </w:rPr>
                  </w:pPr>
                  <w:r>
                    <w:rPr>
                      <w:rFonts w:hint="eastAsia"/>
                      <w:b/>
                      <w:color w:val="000000"/>
                      <w:sz w:val="21"/>
                      <w:szCs w:val="21"/>
                      <w:highlight w:val="none"/>
                    </w:rPr>
                    <w:t>行动准则</w:t>
                  </w:r>
                  <w:r>
                    <w:rPr>
                      <w:rFonts w:hint="eastAsia"/>
                      <w:b/>
                      <w:color w:val="000000"/>
                      <w:sz w:val="21"/>
                      <w:szCs w:val="21"/>
                      <w:highlight w:val="none"/>
                      <w:lang w:val="en-US" w:eastAsia="zh-CN"/>
                    </w:rPr>
                    <w:t>/CL</w:t>
                  </w:r>
                </w:p>
              </w:tc>
              <w:tc>
                <w:tcPr>
                  <w:tcW w:w="3226"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val="en-US" w:eastAsia="zh-CN"/>
                    </w:rPr>
                  </w:pPr>
                  <w:r>
                    <w:rPr>
                      <w:rFonts w:hint="eastAsia"/>
                      <w:b/>
                      <w:color w:val="000000"/>
                      <w:sz w:val="21"/>
                      <w:szCs w:val="21"/>
                      <w:highlight w:val="none"/>
                    </w:rPr>
                    <w:t>监控</w:t>
                  </w:r>
                  <w:r>
                    <w:rPr>
                      <w:rFonts w:hint="eastAsia"/>
                      <w:b/>
                      <w:color w:val="000000"/>
                      <w:sz w:val="21"/>
                      <w:szCs w:val="21"/>
                      <w:highlight w:val="none"/>
                      <w:lang w:val="en-US" w:eastAsia="zh-CN"/>
                    </w:rPr>
                    <w:t>程序</w:t>
                  </w:r>
                </w:p>
              </w:tc>
              <w:tc>
                <w:tcPr>
                  <w:tcW w:w="406"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eastAsia="zh-CN"/>
                    </w:rPr>
                  </w:pPr>
                  <w:r>
                    <w:rPr>
                      <w:rFonts w:hint="eastAsia"/>
                      <w:b/>
                      <w:color w:val="000000"/>
                      <w:sz w:val="21"/>
                      <w:szCs w:val="21"/>
                      <w:highlight w:val="none"/>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575" w:type="dxa"/>
                  <w:tcBorders>
                    <w:tl2br w:val="nil"/>
                    <w:tr2bl w:val="nil"/>
                  </w:tcBorders>
                  <w:tcMar>
                    <w:left w:w="0" w:type="dxa"/>
                    <w:right w:w="0" w:type="dxa"/>
                  </w:tcMar>
                  <w:vAlign w:val="center"/>
                </w:tcPr>
                <w:p>
                  <w:pPr>
                    <w:jc w:val="center"/>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蔬菜类</w:t>
                  </w:r>
                </w:p>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Times New Roman"/>
                      <w:color w:val="auto"/>
                      <w:szCs w:val="21"/>
                      <w:highlight w:val="none"/>
                      <w:lang w:eastAsia="zh-CN"/>
                    </w:rPr>
                    <w:t>OPRP1</w:t>
                  </w:r>
                </w:p>
              </w:tc>
              <w:tc>
                <w:tcPr>
                  <w:tcW w:w="1933" w:type="dxa"/>
                  <w:tcBorders>
                    <w:tl2br w:val="nil"/>
                    <w:tr2bl w:val="nil"/>
                  </w:tcBorders>
                  <w:tcMar>
                    <w:left w:w="0" w:type="dxa"/>
                    <w:right w:w="0" w:type="dxa"/>
                  </w:tcMar>
                  <w:vAlign w:val="center"/>
                </w:tcPr>
                <w:p>
                  <w:pPr>
                    <w:jc w:val="left"/>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化学危害：农药残留</w:t>
                  </w:r>
                </w:p>
              </w:tc>
              <w:tc>
                <w:tcPr>
                  <w:tcW w:w="1911" w:type="dxa"/>
                  <w:tcBorders>
                    <w:tl2br w:val="nil"/>
                    <w:tr2bl w:val="nil"/>
                  </w:tcBorders>
                  <w:tcMar>
                    <w:left w:w="0" w:type="dxa"/>
                    <w:right w:w="0" w:type="dxa"/>
                  </w:tcMar>
                  <w:vAlign w:val="center"/>
                </w:tcPr>
                <w:p>
                  <w:pPr>
                    <w:jc w:val="both"/>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kern w:val="0"/>
                      <w:szCs w:val="24"/>
                      <w:highlight w:val="none"/>
                      <w:lang w:val="en-US" w:eastAsia="zh-CN" w:bidi="ar"/>
                    </w:rPr>
                    <w:t>合格的农产品检验报告单</w:t>
                  </w:r>
                </w:p>
              </w:tc>
              <w:tc>
                <w:tcPr>
                  <w:tcW w:w="3226"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auto"/>
                      <w:sz w:val="21"/>
                      <w:szCs w:val="21"/>
                      <w:highlight w:val="none"/>
                    </w:rPr>
                    <w:t>原料验收人员每批次查看有无相应的有效官方检验</w:t>
                  </w:r>
                  <w:r>
                    <w:rPr>
                      <w:rFonts w:hint="eastAsia"/>
                      <w:color w:val="auto"/>
                      <w:sz w:val="21"/>
                      <w:szCs w:val="21"/>
                      <w:highlight w:val="none"/>
                      <w:lang w:val="en-US" w:eastAsia="zh-CN"/>
                    </w:rPr>
                    <w:t>证明/</w:t>
                  </w:r>
                  <w:r>
                    <w:rPr>
                      <w:rFonts w:hint="eastAsia"/>
                      <w:color w:val="auto"/>
                      <w:sz w:val="21"/>
                      <w:szCs w:val="21"/>
                      <w:highlight w:val="none"/>
                    </w:rPr>
                    <w:t>报告。</w:t>
                  </w:r>
                </w:p>
              </w:tc>
              <w:tc>
                <w:tcPr>
                  <w:tcW w:w="406"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7" w:hRule="atLeast"/>
              </w:trPr>
              <w:tc>
                <w:tcPr>
                  <w:tcW w:w="1575" w:type="dxa"/>
                  <w:tcBorders>
                    <w:tl2br w:val="nil"/>
                    <w:tr2bl w:val="nil"/>
                  </w:tcBorders>
                  <w:tcMar>
                    <w:left w:w="0" w:type="dxa"/>
                    <w:right w:w="0" w:type="dxa"/>
                  </w:tcMar>
                  <w:vAlign w:val="center"/>
                </w:tcPr>
                <w:p>
                  <w:pPr>
                    <w:jc w:val="center"/>
                    <w:rPr>
                      <w:rFonts w:hint="eastAsia" w:eastAsia="宋体"/>
                      <w:color w:val="auto"/>
                      <w:highlight w:val="none"/>
                      <w:lang w:eastAsia="zh-CN"/>
                    </w:rPr>
                  </w:pPr>
                  <w:r>
                    <w:rPr>
                      <w:rFonts w:hint="eastAsia"/>
                      <w:color w:val="auto"/>
                      <w:highlight w:val="none"/>
                    </w:rPr>
                    <w:t>肉类</w:t>
                  </w:r>
                  <w:r>
                    <w:rPr>
                      <w:rFonts w:hint="eastAsia"/>
                      <w:color w:val="auto"/>
                      <w:highlight w:val="none"/>
                      <w:lang w:eastAsia="zh-CN"/>
                    </w:rPr>
                    <w:t>采购</w:t>
                  </w:r>
                </w:p>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OPRP1</w:t>
                  </w:r>
                </w:p>
              </w:tc>
              <w:tc>
                <w:tcPr>
                  <w:tcW w:w="1933" w:type="dxa"/>
                  <w:tcBorders>
                    <w:tl2br w:val="nil"/>
                    <w:tr2bl w:val="nil"/>
                  </w:tcBorders>
                  <w:tcMar>
                    <w:left w:w="0" w:type="dxa"/>
                    <w:right w:w="0" w:type="dxa"/>
                  </w:tcMar>
                  <w:vAlign w:val="center"/>
                </w:tcPr>
                <w:p>
                  <w:pPr>
                    <w:jc w:val="left"/>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化学危害：食品添加剂、兽药/农药残留、重金属超标；生物危害：病毒、致病菌、寄生虫</w:t>
                  </w:r>
                </w:p>
              </w:tc>
              <w:tc>
                <w:tcPr>
                  <w:tcW w:w="1911" w:type="dxa"/>
                  <w:tcBorders>
                    <w:tl2br w:val="nil"/>
                    <w:tr2bl w:val="nil"/>
                  </w:tcBorders>
                  <w:tcMar>
                    <w:left w:w="0" w:type="dxa"/>
                    <w:right w:w="0" w:type="dxa"/>
                  </w:tcMar>
                  <w:vAlign w:val="center"/>
                </w:tcPr>
                <w:p>
                  <w:pPr>
                    <w:jc w:val="left"/>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批检验/检疫合格证明或第三方检验报告</w:t>
                  </w:r>
                </w:p>
              </w:tc>
              <w:tc>
                <w:tcPr>
                  <w:tcW w:w="3226"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auto"/>
                      <w:sz w:val="21"/>
                      <w:szCs w:val="21"/>
                      <w:highlight w:val="none"/>
                    </w:rPr>
                    <w:t>原料验收人员每批次</w:t>
                  </w:r>
                  <w:r>
                    <w:rPr>
                      <w:rFonts w:hint="eastAsia"/>
                      <w:color w:val="auto"/>
                      <w:sz w:val="21"/>
                      <w:szCs w:val="21"/>
                      <w:highlight w:val="none"/>
                      <w:lang w:val="en-US" w:eastAsia="zh-CN"/>
                    </w:rPr>
                    <w:t>或每年查看有无相应的有效官方检验证明/报告。</w:t>
                  </w:r>
                </w:p>
              </w:tc>
              <w:tc>
                <w:tcPr>
                  <w:tcW w:w="406" w:type="dxa"/>
                  <w:tcBorders>
                    <w:tl2br w:val="nil"/>
                    <w:tr2bl w:val="nil"/>
                  </w:tcBorders>
                  <w:tcMar>
                    <w:left w:w="0" w:type="dxa"/>
                    <w:right w:w="0" w:type="dxa"/>
                  </w:tcMar>
                  <w:vAlign w:val="center"/>
                </w:tcPr>
                <w:p>
                  <w:pPr>
                    <w:shd w:val="clear"/>
                    <w:spacing w:line="192" w:lineRule="auto"/>
                    <w:rPr>
                      <w:rFonts w:hint="eastAsia"/>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75" w:type="dxa"/>
                  <w:tcBorders>
                    <w:tl2br w:val="nil"/>
                    <w:tr2bl w:val="nil"/>
                  </w:tcBorders>
                  <w:tcMar>
                    <w:left w:w="0" w:type="dxa"/>
                    <w:right w:w="0" w:type="dxa"/>
                  </w:tcMar>
                  <w:vAlign w:val="center"/>
                </w:tcPr>
                <w:p>
                  <w:pPr>
                    <w:jc w:val="center"/>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水产品</w:t>
                  </w:r>
                </w:p>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类</w:t>
                  </w:r>
                  <w:r>
                    <w:rPr>
                      <w:rFonts w:hint="eastAsia"/>
                      <w:color w:val="auto"/>
                      <w:highlight w:val="none"/>
                    </w:rPr>
                    <w:t>OPRP1</w:t>
                  </w:r>
                </w:p>
              </w:tc>
              <w:tc>
                <w:tcPr>
                  <w:tcW w:w="1933" w:type="dxa"/>
                  <w:tcBorders>
                    <w:tl2br w:val="nil"/>
                    <w:tr2bl w:val="nil"/>
                  </w:tcBorders>
                  <w:tcMar>
                    <w:left w:w="0" w:type="dxa"/>
                    <w:right w:w="0" w:type="dxa"/>
                  </w:tcMar>
                  <w:vAlign w:val="center"/>
                </w:tcPr>
                <w:p>
                  <w:pPr>
                    <w:jc w:val="left"/>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生物危害：病毒、寄生虫</w:t>
                  </w:r>
                  <w:r>
                    <w:rPr>
                      <w:rFonts w:hint="eastAsia"/>
                      <w:color w:val="auto"/>
                      <w:highlight w:val="none"/>
                      <w:lang w:eastAsia="zh-CN"/>
                    </w:rPr>
                    <w:t>、</w:t>
                  </w:r>
                  <w:r>
                    <w:rPr>
                      <w:rFonts w:hint="eastAsia"/>
                      <w:color w:val="auto"/>
                      <w:highlight w:val="none"/>
                      <w:lang w:val="en-US" w:eastAsia="zh-CN"/>
                    </w:rPr>
                    <w:t>微生物，化学危害：药物残留</w:t>
                  </w:r>
                </w:p>
              </w:tc>
              <w:tc>
                <w:tcPr>
                  <w:tcW w:w="1911" w:type="dxa"/>
                  <w:tcBorders>
                    <w:tl2br w:val="nil"/>
                    <w:tr2bl w:val="nil"/>
                  </w:tcBorders>
                  <w:tcMar>
                    <w:left w:w="0" w:type="dxa"/>
                    <w:right w:w="0" w:type="dxa"/>
                  </w:tcMar>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kern w:val="0"/>
                      <w:szCs w:val="24"/>
                      <w:highlight w:val="none"/>
                      <w:lang w:val="en-US" w:eastAsia="zh-CN" w:bidi="ar"/>
                    </w:rPr>
                    <w:t>合格农产品检验报告单</w:t>
                  </w:r>
                </w:p>
              </w:tc>
              <w:tc>
                <w:tcPr>
                  <w:tcW w:w="3226"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auto"/>
                      <w:sz w:val="21"/>
                      <w:szCs w:val="21"/>
                      <w:highlight w:val="none"/>
                    </w:rPr>
                    <w:t>原料验收人员每批次</w:t>
                  </w:r>
                  <w:r>
                    <w:rPr>
                      <w:rFonts w:hint="eastAsia"/>
                      <w:color w:val="auto"/>
                      <w:sz w:val="21"/>
                      <w:szCs w:val="21"/>
                      <w:highlight w:val="none"/>
                      <w:lang w:val="en-US" w:eastAsia="zh-CN"/>
                    </w:rPr>
                    <w:t>查看合格供方提供的</w:t>
                  </w:r>
                  <w:r>
                    <w:rPr>
                      <w:rFonts w:hint="eastAsia" w:ascii="Times New Roman" w:hAnsi="Times New Roman" w:cs="Times New Roman"/>
                      <w:color w:val="auto"/>
                      <w:sz w:val="21"/>
                      <w:szCs w:val="21"/>
                      <w:highlight w:val="none"/>
                      <w:lang w:val="en-US" w:eastAsia="zh-CN"/>
                    </w:rPr>
                    <w:t>第三方检测报告</w:t>
                  </w:r>
                </w:p>
              </w:tc>
              <w:tc>
                <w:tcPr>
                  <w:tcW w:w="406"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r>
                    <w:rPr>
                      <w:rFonts w:hint="eastAsia"/>
                      <w:sz w:val="21"/>
                      <w:szCs w:val="21"/>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75" w:type="dxa"/>
                  <w:vAlign w:val="center"/>
                </w:tcPr>
                <w:p>
                  <w:pPr>
                    <w:jc w:val="center"/>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粮油副</w:t>
                  </w:r>
                </w:p>
                <w:p>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食类</w:t>
                  </w:r>
                  <w:r>
                    <w:rPr>
                      <w:rFonts w:hint="eastAsia"/>
                      <w:color w:val="auto"/>
                      <w:highlight w:val="none"/>
                    </w:rPr>
                    <w:t>OPRP1</w:t>
                  </w:r>
                </w:p>
              </w:tc>
              <w:tc>
                <w:tcPr>
                  <w:tcW w:w="1933" w:type="dxa"/>
                  <w:vAlign w:val="center"/>
                </w:tcPr>
                <w:p>
                  <w:pPr>
                    <w:jc w:val="left"/>
                    <w:rPr>
                      <w:rFonts w:hint="eastAsia" w:ascii="Arial" w:hAnsi="Arial" w:eastAsia="宋体" w:cs="Times New Roman"/>
                      <w:b/>
                      <w:color w:val="auto"/>
                      <w:kern w:val="2"/>
                      <w:sz w:val="21"/>
                      <w:szCs w:val="24"/>
                      <w:highlight w:val="none"/>
                      <w:lang w:val="en-US" w:eastAsia="zh-CN" w:bidi="ar-SA"/>
                    </w:rPr>
                  </w:pPr>
                  <w:r>
                    <w:rPr>
                      <w:rFonts w:hint="eastAsia"/>
                      <w:color w:val="auto"/>
                      <w:highlight w:val="none"/>
                      <w:lang w:val="en-US" w:eastAsia="zh-CN"/>
                    </w:rPr>
                    <w:t>化学危害：食品添加剂超标【描述不够准备，主要是重金属、黄曲霉毒素超标等】</w:t>
                  </w:r>
                </w:p>
              </w:tc>
              <w:tc>
                <w:tcPr>
                  <w:tcW w:w="1911" w:type="dxa"/>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产品质量检验报告/</w:t>
                  </w:r>
                  <w:r>
                    <w:rPr>
                      <w:rFonts w:hint="eastAsia" w:ascii="Times New Roman" w:hAnsi="Times New Roman" w:cs="Times New Roman"/>
                      <w:color w:val="auto"/>
                      <w:sz w:val="21"/>
                      <w:szCs w:val="21"/>
                      <w:highlight w:val="none"/>
                      <w:lang w:val="en-US" w:eastAsia="zh-CN"/>
                    </w:rPr>
                    <w:t>第三方</w:t>
                  </w:r>
                  <w:r>
                    <w:rPr>
                      <w:rFonts w:hint="eastAsia" w:cs="Times New Roman"/>
                      <w:color w:val="auto"/>
                      <w:sz w:val="21"/>
                      <w:szCs w:val="21"/>
                      <w:highlight w:val="none"/>
                      <w:lang w:val="en-US" w:eastAsia="zh-CN"/>
                    </w:rPr>
                    <w:t>检验</w:t>
                  </w:r>
                  <w:r>
                    <w:rPr>
                      <w:rFonts w:hint="eastAsia" w:ascii="Times New Roman" w:hAnsi="Times New Roman" w:cs="Times New Roman"/>
                      <w:color w:val="auto"/>
                      <w:sz w:val="21"/>
                      <w:szCs w:val="21"/>
                      <w:highlight w:val="none"/>
                      <w:lang w:val="en-US" w:eastAsia="zh-CN"/>
                    </w:rPr>
                    <w:t>报告</w:t>
                  </w:r>
                </w:p>
              </w:tc>
              <w:tc>
                <w:tcPr>
                  <w:tcW w:w="3226" w:type="dxa"/>
                </w:tcPr>
                <w:p>
                  <w:pPr>
                    <w:jc w:val="both"/>
                    <w:rPr>
                      <w:rFonts w:hint="default"/>
                      <w:color w:val="000000"/>
                      <w:sz w:val="21"/>
                      <w:szCs w:val="21"/>
                      <w:highlight w:val="none"/>
                      <w:lang w:val="en-US" w:eastAsia="zh-CN"/>
                    </w:rPr>
                  </w:pPr>
                  <w:r>
                    <w:rPr>
                      <w:rFonts w:hint="eastAsia"/>
                      <w:color w:val="auto"/>
                      <w:sz w:val="21"/>
                      <w:szCs w:val="21"/>
                      <w:highlight w:val="none"/>
                    </w:rPr>
                    <w:t>原料验收人员每批次</w:t>
                  </w:r>
                  <w:r>
                    <w:rPr>
                      <w:rFonts w:hint="eastAsia"/>
                      <w:color w:val="auto"/>
                      <w:sz w:val="21"/>
                      <w:szCs w:val="21"/>
                      <w:highlight w:val="none"/>
                      <w:lang w:val="en-US" w:eastAsia="zh-CN"/>
                    </w:rPr>
                    <w:t>查看</w:t>
                  </w:r>
                  <w:r>
                    <w:rPr>
                      <w:rFonts w:hint="eastAsia" w:ascii="Times New Roman" w:hAnsi="Times New Roman" w:cs="Times New Roman"/>
                      <w:color w:val="auto"/>
                      <w:sz w:val="21"/>
                      <w:szCs w:val="21"/>
                      <w:highlight w:val="none"/>
                      <w:lang w:val="en-US" w:eastAsia="zh-CN"/>
                    </w:rPr>
                    <w:t>第三方检测报告</w:t>
                  </w:r>
                </w:p>
              </w:tc>
              <w:tc>
                <w:tcPr>
                  <w:tcW w:w="0" w:type="auto"/>
                </w:tcPr>
                <w:p>
                  <w:pPr>
                    <w:shd w:val="clear"/>
                    <w:spacing w:line="192" w:lineRule="auto"/>
                    <w:rPr>
                      <w:rFonts w:hint="default"/>
                      <w:color w:val="FF0000"/>
                      <w:sz w:val="21"/>
                      <w:szCs w:val="21"/>
                      <w:highlight w:val="none"/>
                      <w:lang w:val="en-US" w:eastAsia="zh-CN"/>
                    </w:rPr>
                  </w:pPr>
                  <w:r>
                    <w:rPr>
                      <w:rFonts w:hint="eastAsia"/>
                      <w:color w:val="FF0000"/>
                      <w:sz w:val="21"/>
                      <w:szCs w:val="21"/>
                      <w:highlight w:val="none"/>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75" w:type="dxa"/>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Times New Roman"/>
                      <w:color w:val="auto"/>
                      <w:szCs w:val="21"/>
                      <w:highlight w:val="none"/>
                      <w:lang w:val="en-US" w:eastAsia="zh-CN"/>
                    </w:rPr>
                    <w:t>冷冻畜禽肉贮存</w:t>
                  </w:r>
                  <w:r>
                    <w:rPr>
                      <w:rFonts w:hint="eastAsia" w:ascii="宋体" w:hAnsi="宋体" w:cs="Times New Roman"/>
                      <w:color w:val="auto"/>
                      <w:szCs w:val="21"/>
                      <w:highlight w:val="none"/>
                    </w:rPr>
                    <w:t>OPRP2</w:t>
                  </w:r>
                </w:p>
              </w:tc>
              <w:tc>
                <w:tcPr>
                  <w:tcW w:w="1933"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生物危害：致病菌生长、致病菌污染</w:t>
                  </w:r>
                </w:p>
              </w:tc>
              <w:tc>
                <w:tcPr>
                  <w:tcW w:w="1911" w:type="dxa"/>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控制冷冻产品</w:t>
                  </w:r>
                  <w:r>
                    <w:rPr>
                      <w:rFonts w:hint="eastAsia" w:cs="Times New Roman"/>
                      <w:color w:val="auto"/>
                      <w:sz w:val="21"/>
                      <w:szCs w:val="21"/>
                      <w:highlight w:val="none"/>
                      <w:lang w:val="en-US" w:eastAsia="zh-CN"/>
                    </w:rPr>
                    <w:t>冷库</w:t>
                  </w:r>
                  <w:r>
                    <w:rPr>
                      <w:rFonts w:hint="eastAsia" w:ascii="Times New Roman" w:hAnsi="Times New Roman" w:cs="Times New Roman"/>
                      <w:color w:val="auto"/>
                      <w:sz w:val="21"/>
                      <w:szCs w:val="21"/>
                      <w:highlight w:val="none"/>
                      <w:lang w:val="en-US" w:eastAsia="zh-CN"/>
                    </w:rPr>
                    <w:t>温度</w:t>
                  </w:r>
                  <w:r>
                    <w:rPr>
                      <w:rFonts w:hint="eastAsia" w:cs="Times New Roman"/>
                      <w:color w:val="auto"/>
                      <w:sz w:val="21"/>
                      <w:szCs w:val="21"/>
                      <w:highlight w:val="none"/>
                      <w:lang w:val="en-US" w:eastAsia="zh-CN"/>
                    </w:rPr>
                    <w:t>在≤</w:t>
                  </w:r>
                  <w:r>
                    <w:rPr>
                      <w:rFonts w:hint="eastAsia" w:ascii="Times New Roman" w:hAnsi="Times New Roman" w:cs="Times New Roman"/>
                      <w:color w:val="auto"/>
                      <w:sz w:val="21"/>
                      <w:szCs w:val="21"/>
                      <w:highlight w:val="none"/>
                      <w:lang w:val="en-US" w:eastAsia="zh-CN"/>
                    </w:rPr>
                    <w:t>-18℃</w:t>
                  </w:r>
                </w:p>
              </w:tc>
              <w:tc>
                <w:tcPr>
                  <w:tcW w:w="3226" w:type="dxa"/>
                </w:tcPr>
                <w:p>
                  <w:pPr>
                    <w:shd w:val="clear"/>
                    <w:spacing w:line="192" w:lineRule="auto"/>
                    <w:rPr>
                      <w:rFonts w:hint="default"/>
                      <w:color w:val="000000"/>
                      <w:sz w:val="21"/>
                      <w:szCs w:val="21"/>
                      <w:highlight w:val="none"/>
                      <w:lang w:val="en-US" w:eastAsia="zh-CN"/>
                    </w:rPr>
                  </w:pPr>
                  <w:r>
                    <w:rPr>
                      <w:rFonts w:hint="eastAsia" w:cs="Times New Roman"/>
                      <w:color w:val="auto"/>
                      <w:sz w:val="21"/>
                      <w:szCs w:val="21"/>
                      <w:highlight w:val="none"/>
                      <w:lang w:val="en-US" w:eastAsia="zh-CN"/>
                    </w:rPr>
                    <w:t>仓管人员</w:t>
                  </w:r>
                  <w:r>
                    <w:rPr>
                      <w:rFonts w:hint="eastAsia" w:ascii="Times New Roman" w:hAnsi="Times New Roman" w:cs="Times New Roman"/>
                      <w:color w:val="auto"/>
                      <w:sz w:val="21"/>
                      <w:szCs w:val="21"/>
                      <w:highlight w:val="none"/>
                      <w:lang w:val="en-US" w:eastAsia="zh-CN"/>
                    </w:rPr>
                    <w:t>每天对</w:t>
                  </w:r>
                  <w:r>
                    <w:rPr>
                      <w:rFonts w:hint="eastAsia" w:cs="Times New Roman"/>
                      <w:color w:val="auto"/>
                      <w:sz w:val="21"/>
                      <w:szCs w:val="21"/>
                      <w:highlight w:val="none"/>
                      <w:lang w:val="en-US" w:eastAsia="zh-CN"/>
                    </w:rPr>
                    <w:t>冷库</w:t>
                  </w:r>
                  <w:r>
                    <w:rPr>
                      <w:rFonts w:hint="eastAsia" w:ascii="Times New Roman" w:hAnsi="Times New Roman" w:cs="Times New Roman"/>
                      <w:color w:val="auto"/>
                      <w:sz w:val="21"/>
                      <w:szCs w:val="21"/>
                      <w:highlight w:val="none"/>
                      <w:lang w:val="en-US" w:eastAsia="zh-CN"/>
                    </w:rPr>
                    <w:t>温度进行控制</w:t>
                  </w:r>
                </w:p>
              </w:tc>
              <w:tc>
                <w:tcPr>
                  <w:tcW w:w="0" w:type="auto"/>
                </w:tcPr>
                <w:p>
                  <w:pPr>
                    <w:shd w:val="clear"/>
                    <w:spacing w:line="192" w:lineRule="auto"/>
                    <w:rPr>
                      <w:rFonts w:hint="default"/>
                      <w:color w:val="FF0000"/>
                      <w:sz w:val="21"/>
                      <w:szCs w:val="21"/>
                      <w:highlight w:val="none"/>
                      <w:lang w:val="en-US" w:eastAsia="zh-CN"/>
                    </w:rPr>
                  </w:pPr>
                  <w:r>
                    <w:rPr>
                      <w:rFonts w:hint="eastAsia"/>
                      <w:color w:val="FF0000"/>
                      <w:sz w:val="21"/>
                      <w:szCs w:val="21"/>
                      <w:highlight w:val="none"/>
                      <w:lang w:val="en-US" w:eastAsia="zh-CN"/>
                    </w:rPr>
                    <w:t>3</w:t>
                  </w:r>
                </w:p>
              </w:tc>
            </w:tr>
          </w:tbl>
          <w:p>
            <w:pPr>
              <w:spacing w:before="120"/>
              <w:ind w:firstLine="440"/>
              <w:rPr>
                <w:rFonts w:hint="default" w:ascii="方正仿宋简体" w:eastAsia="方正仿宋简体"/>
                <w:b/>
                <w:color w:val="FF0000"/>
                <w:u w:val="single"/>
                <w:lang w:val="en-US" w:eastAsia="zh-CN"/>
              </w:rPr>
            </w:pPr>
            <w:r>
              <w:rPr>
                <w:rFonts w:hint="eastAsia" w:ascii="方正仿宋简体" w:eastAsia="方正仿宋简体"/>
                <w:b/>
                <w:color w:val="FF0000"/>
                <w:u w:val="single"/>
              </w:rPr>
              <w:t>查O</w:t>
            </w:r>
            <w:r>
              <w:rPr>
                <w:rFonts w:ascii="方正仿宋简体" w:eastAsia="方正仿宋简体"/>
                <w:b/>
                <w:color w:val="FF0000"/>
                <w:u w:val="single"/>
              </w:rPr>
              <w:t>PRP</w:t>
            </w:r>
            <w:r>
              <w:rPr>
                <w:rFonts w:hint="eastAsia" w:ascii="方正仿宋简体" w:eastAsia="方正仿宋简体"/>
                <w:b/>
                <w:color w:val="FF0000"/>
                <w:u w:val="single"/>
              </w:rPr>
              <w:t>执行情况时发现：1</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未提供大米、红糖、龙口粉丝的第三方外检报告，不符合O</w:t>
            </w:r>
            <w:r>
              <w:rPr>
                <w:rFonts w:ascii="方正仿宋简体" w:eastAsia="方正仿宋简体"/>
                <w:b/>
                <w:color w:val="FF0000"/>
                <w:u w:val="single"/>
              </w:rPr>
              <w:t>PRP1</w:t>
            </w:r>
            <w:r>
              <w:rPr>
                <w:rFonts w:hint="eastAsia" w:ascii="方正仿宋简体" w:eastAsia="方正仿宋简体"/>
                <w:b/>
                <w:color w:val="FF0000"/>
                <w:u w:val="single"/>
              </w:rPr>
              <w:t>粮油副食品采购中行动准则要求；2</w:t>
            </w:r>
            <w:r>
              <w:rPr>
                <w:rFonts w:hint="eastAsia" w:ascii="方正仿宋简体" w:eastAsia="方正仿宋简体"/>
                <w:b/>
                <w:color w:val="FF0000"/>
                <w:u w:val="single"/>
                <w:lang w:eastAsia="zh-CN"/>
              </w:rPr>
              <w:t>）</w:t>
            </w:r>
            <w:r>
              <w:rPr>
                <w:rFonts w:hint="eastAsia" w:ascii="方正仿宋简体" w:eastAsia="方正仿宋简体"/>
                <w:b/>
                <w:color w:val="FF0000"/>
                <w:u w:val="single"/>
              </w:rPr>
              <w:t>查2</w:t>
            </w:r>
            <w:r>
              <w:rPr>
                <w:rFonts w:ascii="方正仿宋简体" w:eastAsia="方正仿宋简体"/>
                <w:b/>
                <w:color w:val="FF0000"/>
                <w:u w:val="single"/>
              </w:rPr>
              <w:t>022.7.20</w:t>
            </w:r>
            <w:r>
              <w:rPr>
                <w:rFonts w:hint="eastAsia" w:ascii="方正仿宋简体" w:eastAsia="方正仿宋简体"/>
                <w:b/>
                <w:color w:val="FF0000"/>
                <w:u w:val="single"/>
              </w:rPr>
              <w:t>，显示冷库温度为-</w:t>
            </w:r>
            <w:r>
              <w:rPr>
                <w:rFonts w:ascii="方正仿宋简体" w:eastAsia="方正仿宋简体"/>
                <w:b/>
                <w:color w:val="FF0000"/>
                <w:u w:val="single"/>
              </w:rPr>
              <w:t>6</w:t>
            </w:r>
            <w:r>
              <w:rPr>
                <w:rFonts w:hint="eastAsia" w:ascii="方正仿宋简体" w:eastAsia="方正仿宋简体"/>
                <w:b/>
                <w:color w:val="FF0000"/>
                <w:u w:val="single"/>
              </w:rPr>
              <w:t>℃，与</w:t>
            </w:r>
            <w:r>
              <w:rPr>
                <w:rFonts w:ascii="方正仿宋简体" w:eastAsia="方正仿宋简体"/>
                <w:b/>
                <w:color w:val="FF0000"/>
                <w:u w:val="single"/>
              </w:rPr>
              <w:t>OPRP2</w:t>
            </w:r>
            <w:r>
              <w:rPr>
                <w:rFonts w:hint="eastAsia" w:ascii="方正仿宋简体" w:eastAsia="方正仿宋简体"/>
                <w:b/>
                <w:color w:val="FF0000"/>
                <w:u w:val="single"/>
              </w:rPr>
              <w:t>冷冻畜禽肉贮存规定的行动准则不一致。</w:t>
            </w:r>
            <w:r>
              <w:rPr>
                <w:rFonts w:hint="eastAsia" w:ascii="方正仿宋简体" w:eastAsia="方正仿宋简体"/>
                <w:b/>
                <w:color w:val="FF0000"/>
                <w:u w:val="single"/>
                <w:lang w:val="en-US" w:eastAsia="zh-CN"/>
              </w:rPr>
              <w:t>见不符合项报告01</w:t>
            </w:r>
          </w:p>
          <w:p>
            <w:pPr>
              <w:pStyle w:val="3"/>
              <w:shd w:val="clear"/>
              <w:ind w:left="0" w:leftChars="0" w:firstLine="0" w:firstLineChars="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b/>
                <w:bCs/>
              </w:rPr>
            </w:pPr>
            <w:r>
              <w:rPr>
                <w:b/>
                <w:bCs/>
              </w:rPr>
              <w:t>超出关键限值或行动限值采取的措施</w:t>
            </w:r>
          </w:p>
          <w:p>
            <w:pPr>
              <w:shd w:val="clear" w:color="auto" w:fill="D6E3BC" w:themeFill="accent3" w:themeFillTint="66"/>
            </w:pPr>
            <w:r>
              <w:t>组织规定超出行动限值或行动限值时所采取的纠正和纠正措施。并确保：</w:t>
            </w:r>
          </w:p>
          <w:p>
            <w:pPr>
              <w:shd w:val="clear" w:color="auto" w:fill="D6E3BC" w:themeFill="accent3" w:themeFillTint="66"/>
            </w:pPr>
            <w:r>
              <w:t>a) 潜在不安全产品未放行；</w:t>
            </w:r>
          </w:p>
          <w:p>
            <w:pPr>
              <w:shd w:val="clear" w:color="auto" w:fill="D6E3BC" w:themeFill="accent3" w:themeFillTint="66"/>
            </w:pPr>
            <w:r>
              <w:t>b) 查明不符合的原因；</w:t>
            </w:r>
          </w:p>
          <w:p>
            <w:pPr>
              <w:shd w:val="clear" w:color="auto" w:fill="D6E3BC" w:themeFill="accent3" w:themeFillTint="66"/>
            </w:pPr>
            <w:r>
              <w:t>c)</w:t>
            </w:r>
            <w:r>
              <w:rPr>
                <w:rFonts w:hint="eastAsia"/>
              </w:rPr>
              <w:t xml:space="preserve"> </w:t>
            </w:r>
            <w:r>
              <w:t>使在CCP和OPRP控制的参数回到关键限值或行动限值内；</w:t>
            </w:r>
          </w:p>
          <w:p>
            <w:pPr>
              <w:shd w:val="clear" w:color="auto" w:fill="D6E3BC" w:themeFill="accent3" w:themeFillTint="66"/>
            </w:pPr>
            <w:r>
              <w:t>d）防止再次发生。</w:t>
            </w:r>
          </w:p>
          <w:p>
            <w:pPr>
              <w:shd w:val="clear" w:fill="D6E3BC" w:themeFill="accent3" w:themeFillTint="66"/>
              <w:tabs>
                <w:tab w:val="right" w:pos="3119"/>
              </w:tabs>
            </w:pPr>
          </w:p>
          <w:p>
            <w:pPr>
              <w:shd w:val="clear" w:fill="D6E3BC" w:themeFill="accent3" w:themeFillTint="66"/>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shd w:val="clear" w:fill="D6E3BC" w:themeFill="accent3" w:themeFillTint="66"/>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D6E3BC" w:themeFill="accent3" w:themeFillTint="66"/>
              <w:rPr>
                <w:b/>
                <w:bCs/>
              </w:rPr>
            </w:pPr>
            <w:r>
              <w:t xml:space="preserve"> </w:t>
            </w:r>
            <w:r>
              <w:rPr>
                <w:b/>
                <w:bCs/>
              </w:rPr>
              <w:t>PRP和 危害控制计划文件的更新</w:t>
            </w:r>
          </w:p>
          <w:p>
            <w:pPr>
              <w:shd w:val="clear" w:color="auto" w:fill="D6E3BC" w:themeFill="accent3" w:themeFillTint="66"/>
              <w:rPr>
                <w:rFonts w:hint="default" w:eastAsia="宋体"/>
                <w:lang w:val="en-US" w:eastAsia="zh-CN"/>
              </w:rPr>
            </w:pPr>
            <w:r>
              <w:t>制定OPRP计划和（或） HACCP计划后，组织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D6E3BC" w:themeFill="accent3" w:themeFillTint="66"/>
            </w:pPr>
            <w:r>
              <w:rPr>
                <w:rFonts w:hint="eastAsia"/>
              </w:rPr>
              <w:t xml:space="preserve">☑ </w:t>
            </w:r>
            <w:r>
              <w:t>原料、 辅料和与产品接触材料的特性；</w:t>
            </w:r>
          </w:p>
          <w:p>
            <w:pPr>
              <w:shd w:val="clear" w:color="auto" w:fill="D6E3BC" w:themeFill="accent3" w:themeFillTint="66"/>
            </w:pPr>
            <w:r>
              <w:rPr>
                <w:rFonts w:hint="eastAsia"/>
              </w:rPr>
              <w:t>☑</w:t>
            </w:r>
            <w:r>
              <w:t xml:space="preserve"> 成品特性；</w:t>
            </w:r>
          </w:p>
          <w:p>
            <w:pPr>
              <w:shd w:val="clear" w:color="auto" w:fill="D6E3BC" w:themeFill="accent3" w:themeFillTint="66"/>
            </w:pPr>
            <w:r>
              <w:rPr>
                <w:rFonts w:hint="eastAsia"/>
              </w:rPr>
              <w:t>☑</w:t>
            </w:r>
            <w:r>
              <w:t xml:space="preserve"> 预期用途；</w:t>
            </w:r>
          </w:p>
          <w:p>
            <w:pPr>
              <w:shd w:val="clear" w:color="auto" w:fill="D6E3BC" w:themeFill="accent3" w:themeFillTint="66"/>
            </w:pPr>
            <w:r>
              <w:rPr>
                <w:rFonts w:hint="eastAsia"/>
              </w:rPr>
              <w:t>☑</w:t>
            </w:r>
            <w:r>
              <w:t xml:space="preserve"> 流程图、 工艺步骤和控制措施。</w:t>
            </w:r>
          </w:p>
          <w:p>
            <w:pPr>
              <w:shd w:val="clear" w:color="auto" w:fill="D6E3BC" w:themeFill="accent3" w:themeFillTint="66"/>
            </w:pPr>
            <w:r>
              <w:rPr>
                <w:rFonts w:hint="eastAsia"/>
              </w:rPr>
              <w:t>☑</w:t>
            </w:r>
            <w:r>
              <w:t>HACCP计划、 OPRP计划和/或PRP。</w:t>
            </w:r>
          </w:p>
          <w:p>
            <w:pPr>
              <w:shd w:val="clear" w:color="auto" w:fill="D6E3BC" w:themeFill="accent3" w:themeFillTint="66"/>
              <w:rPr>
                <w:rFonts w:hint="default" w:eastAsia="宋体"/>
                <w:lang w:val="en-US" w:eastAsia="zh-CN"/>
              </w:rPr>
            </w:pPr>
            <w:r>
              <w:rPr>
                <w:rFonts w:hint="eastAsia"/>
                <w:lang w:val="en-US" w:eastAsia="zh-CN"/>
              </w:rPr>
              <w:t>经确认验证有效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b/>
                <w:bCs/>
                <w:highlight w:val="none"/>
              </w:rPr>
            </w:pPr>
            <w:r>
              <w:rPr>
                <w:b/>
                <w:bCs/>
                <w:highlight w:val="none"/>
              </w:rPr>
              <w:t>监视和测量的控制</w:t>
            </w:r>
          </w:p>
          <w:p>
            <w:pPr>
              <w:shd w:val="clear" w:color="auto" w:fill="D6E3BC" w:themeFill="accent3" w:themeFillTint="66"/>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fill="D6E3BC" w:themeFill="accent3" w:themeFillTint="66"/>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52"/>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lang w:eastAsia="zh-CN"/>
              </w:rPr>
              <w:sym w:font="Wingdings 2" w:char="0052"/>
            </w:r>
            <w:r>
              <w:rPr>
                <w:rFonts w:hint="eastAsia"/>
                <w:highlight w:val="none"/>
              </w:rPr>
              <w:t xml:space="preserve">外校 </w:t>
            </w:r>
          </w:p>
          <w:p>
            <w:pPr>
              <w:shd w:val="clear" w:color="auto" w:fill="D6E3BC" w:themeFill="accent3" w:themeFillTint="66"/>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中心温度计、电子台秤、机械式温湿度表等</w:t>
            </w:r>
            <w:r>
              <w:rPr>
                <w:rFonts w:hint="eastAsia"/>
                <w:highlight w:val="none"/>
                <w:u w:val="single"/>
              </w:rPr>
              <w:t xml:space="preserve">      </w:t>
            </w:r>
            <w:r>
              <w:rPr>
                <w:rFonts w:hint="eastAsia"/>
                <w:highlight w:val="none"/>
              </w:rPr>
              <w:t xml:space="preserve">     （列举1~4种）</w:t>
            </w:r>
          </w:p>
          <w:p>
            <w:pPr>
              <w:shd w:val="clear" w:color="auto" w:fill="D6E3BC" w:themeFill="accent3" w:themeFillTint="66"/>
              <w:rPr>
                <w:rFonts w:hint="default" w:eastAsia="宋体"/>
                <w:color w:val="FF0000"/>
                <w:highlight w:val="yellow"/>
                <w:u w:val="single"/>
                <w:lang w:val="en-US" w:eastAsia="zh-CN"/>
              </w:rPr>
            </w:pPr>
            <w:r>
              <w:rPr>
                <w:rFonts w:hint="eastAsia"/>
                <w:highlight w:val="none"/>
              </w:rPr>
              <w:t>计量器具管理：</w:t>
            </w:r>
            <w:r>
              <w:rPr>
                <w:rFonts w:hint="eastAsia"/>
                <w:highlight w:val="none"/>
                <w:lang w:eastAsia="zh-CN"/>
              </w:rPr>
              <w:sym w:font="Wingdings 2" w:char="0052"/>
            </w:r>
            <w:r>
              <w:rPr>
                <w:rFonts w:hint="eastAsia"/>
                <w:highlight w:val="none"/>
              </w:rPr>
              <w:t xml:space="preserve">进行了定期校准/检定  </w:t>
            </w:r>
            <w:r>
              <w:rPr>
                <w:rFonts w:hint="eastAsia"/>
                <w:highlight w:val="none"/>
              </w:rPr>
              <w:sym w:font="Wingdings" w:char="00FE"/>
            </w:r>
            <w:r>
              <w:rPr>
                <w:rFonts w:hint="eastAsia"/>
                <w:highlight w:val="none"/>
              </w:rPr>
              <w:t>未进行定期校准/检定的有：</w:t>
            </w:r>
            <w:r>
              <w:rPr>
                <w:rFonts w:hint="eastAsia"/>
                <w:highlight w:val="none"/>
                <w:u w:val="single"/>
                <w:lang w:val="en-US" w:eastAsia="zh-CN"/>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格式温度记录仪</w:t>
                  </w:r>
                </w:p>
              </w:tc>
              <w:tc>
                <w:tcPr>
                  <w:tcW w:w="2248" w:type="dxa"/>
                </w:tcPr>
                <w:p>
                  <w:r>
                    <w:t>EFI224992455</w:t>
                  </w:r>
                </w:p>
              </w:tc>
              <w:tc>
                <w:tcPr>
                  <w:tcW w:w="1739" w:type="dxa"/>
                </w:tcPr>
                <w:p>
                  <w:r>
                    <w:rPr>
                      <w:rFonts w:hint="eastAsia"/>
                    </w:rPr>
                    <w:t>2</w:t>
                  </w:r>
                  <w:r>
                    <w:t>024-4</w:t>
                  </w:r>
                  <w:r>
                    <w:rPr>
                      <w:rFonts w:hint="eastAsia"/>
                    </w:rPr>
                    <w:t>-</w:t>
                  </w:r>
                  <w:r>
                    <w:t>1</w:t>
                  </w:r>
                </w:p>
              </w:tc>
              <w:tc>
                <w:tcPr>
                  <w:tcW w:w="2923" w:type="dxa"/>
                </w:tcPr>
                <w:p>
                  <w:r>
                    <w:rPr>
                      <w:rFonts w:hint="eastAsia"/>
                    </w:rPr>
                    <w:sym w:font="Wingdings" w:char="00A8"/>
                  </w:r>
                  <w:r>
                    <w:rPr>
                      <w:rFonts w:hint="eastAsia"/>
                    </w:rPr>
                    <w:t xml:space="preserve">冷冻库 </w:t>
                  </w:r>
                  <w:r>
                    <w:rPr>
                      <w:rFonts w:hint="eastAsia"/>
                    </w:rPr>
                    <w:sym w:font="Wingdings" w:char="00FE"/>
                  </w:r>
                  <w:r>
                    <w:rPr>
                      <w:rFonts w:hint="eastAsia"/>
                    </w:rPr>
                    <w:t>校准 口检验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电子台秤</w:t>
                  </w:r>
                </w:p>
              </w:tc>
              <w:tc>
                <w:tcPr>
                  <w:tcW w:w="2248" w:type="dxa"/>
                </w:tcPr>
                <w:p>
                  <w:r>
                    <w:rPr>
                      <w:rFonts w:hint="eastAsia"/>
                    </w:rPr>
                    <w:t>Z</w:t>
                  </w:r>
                  <w:r>
                    <w:t>D202207181708</w:t>
                  </w:r>
                </w:p>
              </w:tc>
              <w:tc>
                <w:tcPr>
                  <w:tcW w:w="1739" w:type="dxa"/>
                </w:tcPr>
                <w:p>
                  <w:r>
                    <w:rPr>
                      <w:rFonts w:hint="eastAsia"/>
                    </w:rPr>
                    <w:t>2</w:t>
                  </w:r>
                  <w:r>
                    <w:t>022.7.18</w:t>
                  </w:r>
                </w:p>
              </w:tc>
              <w:tc>
                <w:tcPr>
                  <w:tcW w:w="2923" w:type="dxa"/>
                </w:tcPr>
                <w:p>
                  <w:r>
                    <w:rPr>
                      <w:rFonts w:hint="eastAsia"/>
                    </w:rPr>
                    <w:sym w:font="Wingdings" w:char="00FE"/>
                  </w:r>
                  <w:r>
                    <w:rPr>
                      <w:rFonts w:hint="eastAsia"/>
                    </w:rPr>
                    <w:t xml:space="preserve">车间/检验  </w:t>
                  </w:r>
                  <w:r>
                    <w:rPr>
                      <w:rFonts w:hint="eastAsia"/>
                    </w:rPr>
                    <w:sym w:font="Wingdings" w:char="00A8"/>
                  </w:r>
                  <w:r>
                    <w:rPr>
                      <w:rFonts w:hint="eastAsia"/>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1739" w:type="dxa"/>
                </w:tcPr>
                <w:p/>
              </w:tc>
              <w:tc>
                <w:tcPr>
                  <w:tcW w:w="2923" w:type="dxa"/>
                </w:tcPr>
                <w:p>
                  <w:r>
                    <w:rPr>
                      <w:rFonts w:hint="eastAsia"/>
                    </w:rPr>
                    <w:sym w:font="Wingdings" w:char="00A8"/>
                  </w:r>
                  <w:r>
                    <w:rPr>
                      <w:rFonts w:hint="eastAsia"/>
                    </w:rPr>
                    <w:t xml:space="preserve">车间 </w:t>
                  </w:r>
                  <w:r>
                    <w:rPr>
                      <w:rFonts w:hint="eastAsia"/>
                    </w:rPr>
                    <w:sym w:font="Wingdings" w:char="00A8"/>
                  </w:r>
                </w:p>
              </w:tc>
            </w:tr>
          </w:tbl>
          <w:p>
            <w:pPr>
              <w:pStyle w:val="11"/>
              <w:shd w:val="clear" w:fill="D6E3BC" w:themeFill="accent3" w:themeFillTint="66"/>
              <w:ind w:left="0" w:leftChars="0" w:firstLine="0" w:firstLineChars="0"/>
              <w:rPr>
                <w:rFonts w:hint="eastAsia" w:ascii="方正仿宋简体" w:eastAsia="方正仿宋简体"/>
                <w:b/>
                <w:color w:val="FF0000"/>
                <w:highlight w:val="yellow"/>
              </w:rPr>
            </w:pPr>
          </w:p>
          <w:p>
            <w:pPr>
              <w:shd w:val="clear" w:color="auto" w:fill="D6E3BC" w:themeFill="accent3" w:themeFillTint="66"/>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b/>
                <w:bCs/>
              </w:rPr>
            </w:pPr>
            <w:r>
              <w:rPr>
                <w:b/>
                <w:bCs/>
              </w:rPr>
              <w:t>与 PRP、危害控制计划有关的验证</w:t>
            </w:r>
          </w:p>
          <w:p>
            <w:pPr>
              <w:shd w:val="clear" w:color="auto" w:fill="D6E3BC" w:themeFill="accent3" w:themeFillTint="66"/>
            </w:pPr>
            <w:r>
              <w:t>组织建立、实施和保持验证活动，规定验证活动的目的、方法、频次和职责。</w:t>
            </w:r>
          </w:p>
          <w:p>
            <w:pPr>
              <w:shd w:val="clear" w:color="auto" w:fill="D6E3BC" w:themeFill="accent3" w:themeFillTint="66"/>
            </w:pPr>
            <w:r>
              <w:t>验证活动应证实：</w:t>
            </w:r>
          </w:p>
          <w:p>
            <w:pPr>
              <w:shd w:val="clear" w:color="auto" w:fill="D6E3BC" w:themeFill="accent3" w:themeFillTint="66"/>
            </w:pPr>
            <w:r>
              <w:t>a) PRP已实施且有效；</w:t>
            </w:r>
          </w:p>
          <w:p>
            <w:pPr>
              <w:shd w:val="clear" w:color="auto" w:fill="D6E3BC" w:themeFill="accent3" w:themeFillTint="66"/>
            </w:pPr>
            <w:r>
              <w:t>b) 危险源控制计划实施有效；</w:t>
            </w:r>
          </w:p>
          <w:p>
            <w:pPr>
              <w:shd w:val="clear" w:color="auto" w:fill="D6E3BC" w:themeFill="accent3" w:themeFillTint="66"/>
            </w:pPr>
            <w:r>
              <w:t>c) 危害水平在确定的可接受水平之内；</w:t>
            </w:r>
          </w:p>
          <w:p>
            <w:pPr>
              <w:shd w:val="clear" w:color="auto" w:fill="D6E3BC" w:themeFill="accent3" w:themeFillTint="66"/>
            </w:pPr>
            <w:r>
              <w:t>d) 危害分析输入的更新</w:t>
            </w:r>
          </w:p>
          <w:p>
            <w:pPr>
              <w:shd w:val="clear" w:color="auto" w:fill="D6E3BC" w:themeFill="accent3" w:themeFillTint="66"/>
            </w:pPr>
            <w:r>
              <w:t>e) 组织确定的其他措施得以实施且有效。</w:t>
            </w:r>
          </w:p>
          <w:p>
            <w:pPr>
              <w:shd w:val="clear" w:color="auto" w:fill="D6E3BC" w:themeFill="accent3" w:themeFillTint="66"/>
            </w:pPr>
            <w:r>
              <w:t>食品安全小组对验证结果进行分析，并将其作为食品安全管理体系绩效评估的输入</w:t>
            </w:r>
          </w:p>
          <w:p>
            <w:pPr>
              <w:shd w:val="clear" w:fill="D6E3BC" w:themeFill="accent3" w:themeFillTint="66"/>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rPr>
              <w:t>月</w:t>
            </w:r>
            <w:r>
              <w:rPr>
                <w:rFonts w:hint="eastAsia"/>
                <w:color w:val="0000FF"/>
                <w:szCs w:val="21"/>
                <w:highlight w:val="none"/>
                <w:u w:val="single"/>
                <w:lang w:val="en-US" w:eastAsia="zh-CN"/>
              </w:rPr>
              <w:t>5</w:t>
            </w:r>
            <w:r>
              <w:rPr>
                <w:rFonts w:hint="eastAsia"/>
                <w:color w:val="0000FF"/>
                <w:szCs w:val="21"/>
                <w:highlight w:val="none"/>
              </w:rPr>
              <w:t>日，进行验证了PRP。</w:t>
            </w:r>
          </w:p>
          <w:p>
            <w:pPr>
              <w:adjustRightInd w:val="0"/>
              <w:snapToGrid w:val="0"/>
              <w:spacing w:line="240" w:lineRule="atLeast"/>
              <w:ind w:firstLine="210" w:firstLineChars="100"/>
              <w:rPr>
                <w:rFonts w:hint="eastAsia" w:eastAsia="宋体"/>
                <w:b w:val="0"/>
                <w:bCs w:val="0"/>
                <w:color w:val="0000FF"/>
                <w:szCs w:val="21"/>
                <w:u w:val="single"/>
                <w:lang w:eastAsia="zh-CN"/>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rPr>
              <w:t>月</w:t>
            </w:r>
            <w:r>
              <w:rPr>
                <w:rFonts w:hint="eastAsia"/>
                <w:color w:val="0000FF"/>
                <w:szCs w:val="21"/>
                <w:highlight w:val="none"/>
                <w:u w:val="single"/>
                <w:lang w:val="en-US" w:eastAsia="zh-CN"/>
              </w:rPr>
              <w:t>5</w:t>
            </w:r>
            <w:r>
              <w:rPr>
                <w:rFonts w:hint="eastAsia"/>
                <w:color w:val="0000FF"/>
                <w:szCs w:val="21"/>
                <w:highlight w:val="none"/>
              </w:rPr>
              <w:t>日，进行验证了危害控制计划。</w:t>
            </w:r>
            <w:r>
              <w:rPr>
                <w:rFonts w:hint="eastAsia"/>
                <w:b w:val="0"/>
                <w:bCs w:val="0"/>
                <w:color w:val="0000FF"/>
                <w:szCs w:val="21"/>
                <w:u w:val="single"/>
                <w:lang w:eastAsia="zh-CN"/>
              </w:rPr>
              <w:t>【</w:t>
            </w:r>
            <w:r>
              <w:rPr>
                <w:rFonts w:hint="eastAsia"/>
                <w:b w:val="0"/>
                <w:bCs w:val="0"/>
                <w:color w:val="0000FF"/>
                <w:szCs w:val="21"/>
                <w:u w:val="single"/>
                <w:lang w:val="en-US" w:eastAsia="zh-CN"/>
              </w:rPr>
              <w:t>验证内容偏HACCP计划，建议下次验证时考虑OPRP计划，已与企业沟通</w:t>
            </w:r>
            <w:r>
              <w:rPr>
                <w:rFonts w:hint="eastAsia"/>
                <w:b w:val="0"/>
                <w:bCs w:val="0"/>
                <w:color w:val="0000FF"/>
                <w:szCs w:val="21"/>
                <w:u w:val="single"/>
                <w:lang w:eastAsia="zh-CN"/>
              </w:rPr>
              <w:t>】</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color w:val="0000FF"/>
                <w:u w:val="single"/>
                <w:lang w:eastAsia="zh-CN"/>
              </w:rPr>
              <w:t>——</w:t>
            </w:r>
            <w:r>
              <w:rPr>
                <w:rFonts w:hint="eastAsia"/>
                <w:color w:val="0000FF"/>
                <w:u w:val="single"/>
                <w:lang w:val="en-US" w:eastAsia="zh-CN"/>
              </w:rPr>
              <w:t>审核周期内未发生不合格品情况</w:t>
            </w:r>
            <w:r>
              <w:rPr>
                <w:rFonts w:hint="eastAsia"/>
                <w:color w:val="0000FF"/>
                <w:u w:val="single"/>
              </w:rPr>
              <w:t xml:space="preserve">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pPr>
            <w:r>
              <w:rPr>
                <w:rFonts w:hint="eastAsia"/>
              </w:rPr>
              <w:t>产品撤回/召回</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7"/>
              </w:numPr>
              <w:shd w:val="clear"/>
              <w:spacing w:before="40" w:after="40"/>
              <w:rPr>
                <w:szCs w:val="21"/>
              </w:rPr>
            </w:pPr>
            <w:r>
              <w:rPr>
                <w:rFonts w:hint="eastAsia"/>
                <w:szCs w:val="21"/>
              </w:rPr>
              <w:t>启动和实施产品召回计划人员的职责和权限</w:t>
            </w:r>
          </w:p>
          <w:p>
            <w:pPr>
              <w:widowControl/>
              <w:numPr>
                <w:ilvl w:val="0"/>
                <w:numId w:val="7"/>
              </w:numPr>
              <w:shd w:val="clear"/>
              <w:spacing w:before="40" w:after="40"/>
              <w:rPr>
                <w:szCs w:val="21"/>
              </w:rPr>
            </w:pPr>
            <w:r>
              <w:rPr>
                <w:rFonts w:hint="eastAsia"/>
                <w:szCs w:val="21"/>
              </w:rPr>
              <w:t>产品召回行动需符合的相关法律、法规和其他相关要求</w:t>
            </w:r>
          </w:p>
          <w:p>
            <w:pPr>
              <w:widowControl/>
              <w:numPr>
                <w:ilvl w:val="0"/>
                <w:numId w:val="7"/>
              </w:numPr>
              <w:shd w:val="clear"/>
              <w:spacing w:before="40" w:after="40"/>
              <w:rPr>
                <w:szCs w:val="21"/>
              </w:rPr>
            </w:pPr>
            <w:r>
              <w:rPr>
                <w:rFonts w:hint="eastAsia"/>
                <w:szCs w:val="21"/>
              </w:rPr>
              <w:t>制定并实施受安全危害影响产品的召回措施</w:t>
            </w:r>
          </w:p>
          <w:p>
            <w:pPr>
              <w:widowControl/>
              <w:numPr>
                <w:ilvl w:val="0"/>
                <w:numId w:val="7"/>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highlight w:val="yellow"/>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pPr>
            <w:r>
              <w:rPr>
                <w:rFonts w:hint="eastAsia"/>
                <w:szCs w:val="21"/>
                <w:highlight w:val="none"/>
                <w:u w:val="single"/>
              </w:rPr>
              <w:t xml:space="preserve">    </w:t>
            </w:r>
            <w:r>
              <w:rPr>
                <w:rFonts w:hint="eastAsia"/>
                <w:szCs w:val="21"/>
                <w:highlight w:val="none"/>
                <w:u w:val="single"/>
                <w:lang w:val="en-US" w:eastAsia="zh-CN"/>
              </w:rPr>
              <w:t>2022</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 xml:space="preserve">4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10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给配送给客户的批次No.3739347016生鲜肉有变质的情况（模拟）</w:t>
            </w:r>
            <w:r>
              <w:rPr>
                <w:rFonts w:hint="eastAsia"/>
                <w:szCs w:val="21"/>
                <w:highlight w:val="none"/>
                <w:u w:val="single"/>
              </w:rPr>
              <w:t xml:space="preserve"> </w:t>
            </w:r>
            <w:r>
              <w:rPr>
                <w:rFonts w:hint="eastAsia"/>
                <w:szCs w:val="21"/>
                <w:highlight w:val="none"/>
              </w:rPr>
              <w:t>，批号</w:t>
            </w:r>
            <w:r>
              <w:rPr>
                <w:rFonts w:hint="eastAsia"/>
                <w:szCs w:val="21"/>
                <w:highlight w:val="none"/>
                <w:u w:val="single"/>
                <w:lang w:val="en-US" w:eastAsia="zh-CN"/>
              </w:rPr>
              <w:t xml:space="preserve">No.3739347016【模拟】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FE"/>
            </w:r>
            <w:r>
              <w:rPr>
                <w:rFonts w:hint="eastAsia"/>
                <w:szCs w:val="21"/>
                <w:highlight w:val="none"/>
                <w:u w:val="single"/>
              </w:rPr>
              <w:t xml:space="preserve">良好/  </w:t>
            </w:r>
            <w:r>
              <w:rPr>
                <w:rFonts w:hint="eastAsia"/>
                <w:highlight w:val="none"/>
              </w:rPr>
              <w:sym w:font="Wingdings" w:char="00A8"/>
            </w:r>
            <w:r>
              <w:rPr>
                <w:rFonts w:hint="eastAsia"/>
                <w:szCs w:val="21"/>
                <w:highlight w:val="none"/>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restart"/>
            <w:shd w:val="clear" w:color="auto" w:fill="D6E3BC" w:themeFill="accent3" w:themeFillTint="66"/>
          </w:tcPr>
          <w:p>
            <w:pPr>
              <w:shd w:val="clear" w:color="auto" w:fill="D6E3BC" w:themeFill="accent3" w:themeFillTint="66"/>
            </w:pPr>
            <w:r>
              <w:rPr>
                <w:rFonts w:hint="eastAsia"/>
              </w:rPr>
              <w:t>绩效评价</w:t>
            </w:r>
          </w:p>
        </w:tc>
        <w:tc>
          <w:tcPr>
            <w:tcW w:w="9282" w:type="dxa"/>
            <w:shd w:val="clear" w:color="auto" w:fill="D6E3BC" w:themeFill="accent3" w:themeFillTint="66"/>
          </w:tcPr>
          <w:p>
            <w:pPr>
              <w:shd w:val="clear" w:color="auto" w:fill="D6E3BC" w:themeFill="accent3" w:themeFillTint="66"/>
            </w:pPr>
            <w:r>
              <w:rPr>
                <w:rFonts w:hint="eastAsia"/>
              </w:rPr>
              <w:t>组织确定了监视和测量的对象、方法、时机及分析和评价的责任人；评估了食品安全绩效和食品安全管理体系的有效性。</w:t>
            </w:r>
          </w:p>
          <w:p>
            <w:pPr>
              <w:shd w:val="clear" w:color="auto" w:fill="D6E3BC" w:themeFill="accent3" w:themeFillTint="66"/>
            </w:pPr>
            <w:r>
              <w:rPr>
                <w:rFonts w:hint="eastAsia"/>
              </w:rPr>
              <w:t>组织监测和测量产生的数据和信息，包括：</w:t>
            </w:r>
          </w:p>
          <w:p>
            <w:pPr>
              <w:numPr>
                <w:ilvl w:val="0"/>
                <w:numId w:val="8"/>
              </w:numPr>
              <w:shd w:val="clear" w:color="auto" w:fill="D6E3BC" w:themeFill="accent3" w:themeFillTint="66"/>
            </w:pPr>
            <w:r>
              <w:rPr>
                <w:rFonts w:hint="eastAsia"/>
              </w:rPr>
              <w:t>PRP和危害控制计划</w:t>
            </w:r>
          </w:p>
          <w:p>
            <w:pPr>
              <w:numPr>
                <w:ilvl w:val="0"/>
                <w:numId w:val="8"/>
              </w:numPr>
              <w:shd w:val="clear" w:color="auto" w:fill="D6E3BC" w:themeFill="accent3" w:themeFillTint="66"/>
            </w:pPr>
            <w:r>
              <w:rPr>
                <w:rFonts w:hint="eastAsia"/>
              </w:rPr>
              <w:t>内部审核的结果</w:t>
            </w:r>
          </w:p>
          <w:p>
            <w:pPr>
              <w:numPr>
                <w:ilvl w:val="0"/>
                <w:numId w:val="8"/>
              </w:numPr>
              <w:shd w:val="clear" w:color="auto" w:fill="D6E3BC" w:themeFill="accent3" w:themeFillTint="66"/>
            </w:pPr>
            <w:r>
              <w:rPr>
                <w:rFonts w:hint="eastAsia"/>
              </w:rPr>
              <w:t>外部审核的结果。</w:t>
            </w:r>
          </w:p>
          <w:p>
            <w:pPr>
              <w:shd w:val="clear" w:color="auto" w:fill="D6E3BC" w:themeFill="accent3" w:themeFillTint="66"/>
            </w:pPr>
            <w:r>
              <w:rPr>
                <w:rFonts w:hint="eastAsia"/>
              </w:rPr>
              <w:t>进行了分析和评估：</w:t>
            </w:r>
          </w:p>
          <w:p>
            <w:pPr>
              <w:shd w:val="clear" w:color="auto" w:fill="D6E3BC" w:themeFill="accent3" w:themeFillTint="66"/>
            </w:pPr>
            <w:r>
              <w:rPr>
                <w:rFonts w:hint="eastAsia"/>
              </w:rPr>
              <w:t>a） 确认系统的总体绩效满足组织制定的计划安排和FSMS要求；</w:t>
            </w:r>
          </w:p>
          <w:p>
            <w:pPr>
              <w:shd w:val="clear" w:color="auto" w:fill="D6E3BC" w:themeFill="accent3" w:themeFillTint="66"/>
            </w:pPr>
            <w:r>
              <w:rPr>
                <w:rFonts w:hint="eastAsia"/>
              </w:rPr>
              <w:t>b） 确定更新或改进FSMS的必要性；</w:t>
            </w:r>
          </w:p>
          <w:p>
            <w:pPr>
              <w:shd w:val="clear" w:color="auto" w:fill="D6E3BC" w:themeFill="accent3" w:themeFillTint="66"/>
            </w:pPr>
            <w:r>
              <w:rPr>
                <w:rFonts w:hint="eastAsia"/>
              </w:rPr>
              <w:t>c） 识别潜在不安全产品或工艺故障发生率较高的趋势；</w:t>
            </w:r>
          </w:p>
          <w:p>
            <w:pPr>
              <w:shd w:val="clear" w:color="auto" w:fill="D6E3BC" w:themeFill="accent3" w:themeFillTint="66"/>
            </w:pPr>
            <w:r>
              <w:rPr>
                <w:rFonts w:hint="eastAsia"/>
              </w:rPr>
              <w:t>d） 建立与拟审核领域的现状和重要性有关的内部审核方案策划信息；</w:t>
            </w:r>
          </w:p>
          <w:p>
            <w:pPr>
              <w:shd w:val="clear" w:color="auto" w:fill="D6E3BC" w:themeFill="accent3" w:themeFillTint="66"/>
              <w:rPr>
                <w:rFonts w:hint="default" w:eastAsia="宋体"/>
                <w:lang w:val="en-US" w:eastAsia="zh-CN"/>
              </w:rPr>
            </w:pPr>
            <w:r>
              <w:rPr>
                <w:rFonts w:hint="eastAsia"/>
              </w:rPr>
              <w:t>e） 提供纠正和纠正措施有效的证据。</w:t>
            </w:r>
            <w:r>
              <w:rPr>
                <w:rFonts w:hint="eastAsia"/>
                <w:color w:val="0000FF"/>
                <w:lang w:eastAsia="zh-CN"/>
              </w:rPr>
              <w:t>——</w:t>
            </w:r>
            <w:r>
              <w:rPr>
                <w:rFonts w:hint="eastAsia"/>
                <w:color w:val="0000FF"/>
                <w:lang w:val="en-US" w:eastAsia="zh-CN"/>
              </w:rPr>
              <w:t>见验证结果分析报告、内审报告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D6E3BC" w:themeFill="accent3" w:themeFillTint="66"/>
            </w:pPr>
          </w:p>
          <w:p>
            <w:pPr>
              <w:shd w:val="clear" w:color="auto" w:fill="D6E3BC" w:themeFill="accent3" w:themeFillTint="66"/>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D6E3BC" w:themeFill="accent3" w:themeFillTint="66"/>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D6E3BC" w:themeFill="accent3" w:themeFillTint="66"/>
            </w:pPr>
          </w:p>
          <w:p>
            <w:pPr>
              <w:shd w:val="clear" w:color="auto" w:fill="D6E3BC" w:themeFill="accent3" w:themeFillTint="66"/>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D6E3BC" w:themeFill="accent3" w:themeFillTint="66"/>
            </w:pPr>
          </w:p>
          <w:p>
            <w:pPr>
              <w:shd w:val="clear" w:color="auto" w:fill="D6E3BC" w:themeFill="accent3" w:themeFillTint="66"/>
            </w:pPr>
            <w:r>
              <w:rPr>
                <w:rFonts w:hint="eastAsia"/>
              </w:rPr>
              <w:sym w:font="Wingdings" w:char="00A8"/>
            </w:r>
            <w:r>
              <w:rPr>
                <w:rFonts w:hint="eastAsia"/>
              </w:rPr>
              <w:t>对所有班次的现场操作已审核。</w:t>
            </w:r>
          </w:p>
          <w:p>
            <w:pPr>
              <w:shd w:val="clear" w:color="auto" w:fill="D6E3BC" w:themeFill="accent3" w:themeFillTint="66"/>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 xml:space="preserve">5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restart"/>
            <w:shd w:val="clear" w:color="auto" w:fill="D6E3BC" w:themeFill="accent3" w:themeFillTint="66"/>
          </w:tcPr>
          <w:p>
            <w:pPr>
              <w:shd w:val="clear" w:color="auto" w:fill="D6E3BC" w:themeFill="accent3" w:themeFillTint="66"/>
            </w:pPr>
            <w:r>
              <w:rPr>
                <w:rFonts w:hint="eastAsia"/>
              </w:rPr>
              <w:t>改进</w:t>
            </w:r>
          </w:p>
        </w:tc>
        <w:tc>
          <w:tcPr>
            <w:tcW w:w="9282" w:type="dxa"/>
            <w:shd w:val="clear" w:color="auto" w:fill="D6E3BC" w:themeFill="accent3" w:themeFillTint="66"/>
          </w:tcPr>
          <w:p>
            <w:pPr>
              <w:shd w:val="clear" w:color="auto" w:fill="D6E3BC" w:themeFill="accent3" w:themeFillTint="66"/>
            </w:pPr>
            <w:r>
              <w:rPr>
                <w:rFonts w:hint="eastAsia"/>
              </w:rPr>
              <w:t>组织针对食品安全管理体系运行中的不符合采取了有效纠正和纠正措施。针对下列方面采取了纠正措施：</w:t>
            </w:r>
          </w:p>
          <w:p>
            <w:pPr>
              <w:shd w:val="clear" w:color="auto" w:fill="D6E3BC" w:themeFill="accent3" w:themeFillTint="66"/>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fill="D6E3BC" w:themeFill="accent3" w:themeFillTint="66"/>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组织持续改进FSMS的适宜性、充分性和有效性。</w:t>
            </w:r>
          </w:p>
          <w:p>
            <w:pPr>
              <w:shd w:val="clear" w:color="auto" w:fill="D6E3BC" w:themeFill="accent3" w:themeFillTint="66"/>
            </w:pPr>
            <w:r>
              <w:rPr>
                <w:rFonts w:hint="eastAsia"/>
              </w:rPr>
              <w:t>最高管理者应确保组织通过以下活动，持续改进食品安全管理体系的有效性：</w:t>
            </w:r>
          </w:p>
          <w:p>
            <w:pPr>
              <w:shd w:val="clear" w:color="auto" w:fill="D6E3BC" w:themeFill="accent3" w:themeFillTint="66"/>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最高管理者建立了确保FSMS持续更新的机制。为此，食品安全小组应按计划间隔对食品安全管理体系进行了评估。</w:t>
            </w:r>
          </w:p>
          <w:p>
            <w:pPr>
              <w:shd w:val="clear" w:color="auto" w:fill="D6E3BC" w:themeFill="accent3" w:themeFillTint="66"/>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shd w:val="clear" w:color="auto" w:fill="EBF1DE" w:themeFill="accent3" w:themeFillTint="32"/>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EBF1DE" w:themeFill="accent3" w:themeFillTint="32"/>
              <w:rPr>
                <w:highlight w:val="none"/>
                <w:lang w:eastAsia="ja-JP"/>
              </w:rPr>
            </w:pPr>
            <w:r>
              <w:rPr>
                <w:rFonts w:hint="eastAsia"/>
                <w:highlight w:val="none"/>
                <w:lang w:val="en-GB"/>
              </w:rPr>
              <w:t>标准条款</w:t>
            </w:r>
          </w:p>
        </w:tc>
        <w:tc>
          <w:tcPr>
            <w:tcW w:w="608" w:type="dxa"/>
            <w:vAlign w:val="center"/>
          </w:tcPr>
          <w:p>
            <w:pPr>
              <w:shd w:val="clear" w:color="auto" w:fill="EBF1DE" w:themeFill="accent3" w:themeFillTint="32"/>
              <w:rPr>
                <w:highlight w:val="none"/>
                <w:lang w:eastAsia="ja-JP"/>
              </w:rPr>
            </w:pPr>
            <w:r>
              <w:rPr>
                <w:rFonts w:hint="eastAsia"/>
                <w:highlight w:val="none"/>
              </w:rPr>
              <w:t>4.1</w:t>
            </w:r>
          </w:p>
        </w:tc>
        <w:tc>
          <w:tcPr>
            <w:tcW w:w="630" w:type="dxa"/>
            <w:vAlign w:val="center"/>
          </w:tcPr>
          <w:p>
            <w:pPr>
              <w:shd w:val="clear" w:color="auto" w:fill="EBF1DE" w:themeFill="accent3" w:themeFillTint="32"/>
              <w:rPr>
                <w:highlight w:val="none"/>
                <w:lang w:eastAsia="ja-JP"/>
              </w:rPr>
            </w:pPr>
            <w:r>
              <w:rPr>
                <w:rFonts w:hint="eastAsia"/>
                <w:highlight w:val="none"/>
              </w:rPr>
              <w:t>4.2</w:t>
            </w:r>
          </w:p>
        </w:tc>
        <w:tc>
          <w:tcPr>
            <w:tcW w:w="615" w:type="dxa"/>
            <w:vAlign w:val="center"/>
          </w:tcPr>
          <w:p>
            <w:pPr>
              <w:shd w:val="clear" w:color="auto" w:fill="EBF1DE" w:themeFill="accent3" w:themeFillTint="32"/>
              <w:rPr>
                <w:highlight w:val="none"/>
                <w:lang w:eastAsia="ja-JP"/>
              </w:rPr>
            </w:pPr>
            <w:r>
              <w:rPr>
                <w:rFonts w:hint="eastAsia"/>
                <w:highlight w:val="none"/>
              </w:rPr>
              <w:t>4.3</w:t>
            </w:r>
          </w:p>
        </w:tc>
        <w:tc>
          <w:tcPr>
            <w:tcW w:w="645" w:type="dxa"/>
            <w:vAlign w:val="center"/>
          </w:tcPr>
          <w:p>
            <w:pPr>
              <w:shd w:val="clear" w:color="auto" w:fill="EBF1DE" w:themeFill="accent3" w:themeFillTint="32"/>
              <w:rPr>
                <w:highlight w:val="none"/>
                <w:lang w:eastAsia="ja-JP"/>
              </w:rPr>
            </w:pPr>
            <w:r>
              <w:rPr>
                <w:rFonts w:hint="eastAsia"/>
                <w:highlight w:val="none"/>
              </w:rPr>
              <w:t>4.4</w:t>
            </w:r>
          </w:p>
        </w:tc>
        <w:tc>
          <w:tcPr>
            <w:tcW w:w="637" w:type="dxa"/>
            <w:vAlign w:val="center"/>
          </w:tcPr>
          <w:p>
            <w:pPr>
              <w:shd w:val="clear" w:color="auto" w:fill="EBF1DE" w:themeFill="accent3" w:themeFillTint="32"/>
              <w:rPr>
                <w:highlight w:val="none"/>
                <w:lang w:eastAsia="ja-JP"/>
              </w:rPr>
            </w:pPr>
            <w:r>
              <w:rPr>
                <w:rFonts w:hint="eastAsia"/>
                <w:highlight w:val="none"/>
              </w:rPr>
              <w:t>5.1</w:t>
            </w:r>
          </w:p>
        </w:tc>
        <w:tc>
          <w:tcPr>
            <w:tcW w:w="623" w:type="dxa"/>
            <w:vAlign w:val="center"/>
          </w:tcPr>
          <w:p>
            <w:pPr>
              <w:shd w:val="clear" w:color="auto" w:fill="EBF1DE" w:themeFill="accent3" w:themeFillTint="32"/>
              <w:rPr>
                <w:highlight w:val="none"/>
                <w:lang w:eastAsia="ja-JP"/>
              </w:rPr>
            </w:pPr>
            <w:r>
              <w:rPr>
                <w:rFonts w:hint="eastAsia"/>
                <w:highlight w:val="none"/>
              </w:rPr>
              <w:t>5.2</w:t>
            </w:r>
          </w:p>
        </w:tc>
        <w:tc>
          <w:tcPr>
            <w:tcW w:w="637" w:type="dxa"/>
            <w:vAlign w:val="center"/>
          </w:tcPr>
          <w:p>
            <w:pPr>
              <w:shd w:val="clear" w:color="auto" w:fill="EBF1DE" w:themeFill="accent3" w:themeFillTint="32"/>
              <w:rPr>
                <w:highlight w:val="none"/>
                <w:lang w:eastAsia="ja-JP"/>
              </w:rPr>
            </w:pPr>
            <w:r>
              <w:rPr>
                <w:rFonts w:hint="eastAsia"/>
                <w:highlight w:val="none"/>
              </w:rPr>
              <w:t>5.3</w:t>
            </w:r>
          </w:p>
        </w:tc>
        <w:tc>
          <w:tcPr>
            <w:tcW w:w="688" w:type="dxa"/>
            <w:vAlign w:val="center"/>
          </w:tcPr>
          <w:p>
            <w:pPr>
              <w:shd w:val="clear" w:color="auto" w:fill="EBF1DE" w:themeFill="accent3" w:themeFillTint="32"/>
              <w:rPr>
                <w:highlight w:val="none"/>
                <w:lang w:eastAsia="ja-JP"/>
              </w:rPr>
            </w:pPr>
            <w:r>
              <w:rPr>
                <w:rFonts w:hint="eastAsia"/>
                <w:highlight w:val="none"/>
              </w:rPr>
              <w:t>6.1</w:t>
            </w:r>
          </w:p>
        </w:tc>
        <w:tc>
          <w:tcPr>
            <w:tcW w:w="600" w:type="dxa"/>
            <w:vAlign w:val="center"/>
          </w:tcPr>
          <w:p>
            <w:pPr>
              <w:shd w:val="clear" w:color="auto" w:fill="EBF1DE" w:themeFill="accent3" w:themeFillTint="32"/>
              <w:rPr>
                <w:highlight w:val="none"/>
              </w:rPr>
            </w:pPr>
            <w:r>
              <w:rPr>
                <w:rFonts w:hint="eastAsia"/>
                <w:highlight w:val="none"/>
              </w:rPr>
              <w:t>6.2</w:t>
            </w:r>
          </w:p>
        </w:tc>
        <w:tc>
          <w:tcPr>
            <w:tcW w:w="587" w:type="dxa"/>
            <w:vAlign w:val="center"/>
          </w:tcPr>
          <w:p>
            <w:pPr>
              <w:shd w:val="clear" w:color="auto" w:fill="EBF1DE" w:themeFill="accent3" w:themeFillTint="32"/>
              <w:rPr>
                <w:highlight w:val="none"/>
              </w:rPr>
            </w:pPr>
            <w:r>
              <w:rPr>
                <w:rFonts w:hint="eastAsia"/>
                <w:highlight w:val="none"/>
              </w:rPr>
              <w:t>6.3</w:t>
            </w:r>
          </w:p>
        </w:tc>
        <w:tc>
          <w:tcPr>
            <w:tcW w:w="650" w:type="dxa"/>
            <w:vAlign w:val="center"/>
          </w:tcPr>
          <w:p>
            <w:pPr>
              <w:shd w:val="clear" w:color="auto" w:fill="EBF1DE" w:themeFill="accent3" w:themeFillTint="32"/>
              <w:rPr>
                <w:highlight w:val="none"/>
                <w:lang w:eastAsia="ja-JP"/>
              </w:rPr>
            </w:pPr>
          </w:p>
        </w:tc>
        <w:tc>
          <w:tcPr>
            <w:tcW w:w="649" w:type="dxa"/>
            <w:vAlign w:val="center"/>
          </w:tcPr>
          <w:p>
            <w:pPr>
              <w:shd w:val="clear" w:color="auto" w:fill="EBF1DE" w:themeFill="accent3" w:themeFillTint="32"/>
              <w:rPr>
                <w:highlight w:val="none"/>
                <w:lang w:eastAsia="ja-JP"/>
              </w:rPr>
            </w:pPr>
          </w:p>
        </w:tc>
        <w:tc>
          <w:tcPr>
            <w:tcW w:w="650" w:type="dxa"/>
            <w:shd w:val="clear" w:color="auto" w:fill="BFBFBF"/>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EBF1DE" w:themeFill="accent3" w:themeFillTint="32"/>
              <w:rPr>
                <w:highlight w:val="none"/>
                <w:lang w:eastAsia="ja-JP"/>
              </w:rPr>
            </w:pPr>
            <w:r>
              <w:rPr>
                <w:rFonts w:hint="eastAsia"/>
                <w:highlight w:val="none"/>
                <w:lang w:val="en-GB"/>
              </w:rPr>
              <w:t>评价*)</w:t>
            </w:r>
          </w:p>
        </w:tc>
        <w:tc>
          <w:tcPr>
            <w:tcW w:w="608" w:type="dxa"/>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30"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15"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45"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37"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23"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37"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88"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00"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587"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50" w:type="dxa"/>
            <w:vAlign w:val="center"/>
          </w:tcPr>
          <w:p>
            <w:pPr>
              <w:shd w:val="clear" w:color="auto" w:fill="EBF1DE" w:themeFill="accent3" w:themeFillTint="32"/>
              <w:rPr>
                <w:highlight w:val="none"/>
                <w:lang w:eastAsia="ja-JP"/>
              </w:rPr>
            </w:pPr>
          </w:p>
        </w:tc>
        <w:tc>
          <w:tcPr>
            <w:tcW w:w="649" w:type="dxa"/>
            <w:vAlign w:val="center"/>
          </w:tcPr>
          <w:p>
            <w:pPr>
              <w:shd w:val="clear" w:color="auto" w:fill="EBF1DE" w:themeFill="accent3" w:themeFillTint="32"/>
              <w:rPr>
                <w:highlight w:val="none"/>
                <w:lang w:eastAsia="ja-JP"/>
              </w:rPr>
            </w:pPr>
          </w:p>
        </w:tc>
        <w:tc>
          <w:tcPr>
            <w:tcW w:w="650" w:type="dxa"/>
            <w:shd w:val="clear" w:color="auto" w:fill="BFBFBF"/>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EBF1DE" w:themeFill="accent3" w:themeFillTint="32"/>
              <w:rPr>
                <w:highlight w:val="none"/>
              </w:rPr>
            </w:pPr>
            <w:r>
              <w:rPr>
                <w:rFonts w:hint="eastAsia"/>
                <w:highlight w:val="none"/>
              </w:rPr>
              <w:t>不符合数量</w:t>
            </w:r>
          </w:p>
        </w:tc>
        <w:tc>
          <w:tcPr>
            <w:tcW w:w="608" w:type="dxa"/>
            <w:vAlign w:val="center"/>
          </w:tcPr>
          <w:p>
            <w:pPr>
              <w:shd w:val="clear" w:color="auto" w:fill="EBF1DE" w:themeFill="accent3" w:themeFillTint="32"/>
              <w:rPr>
                <w:highlight w:val="none"/>
                <w:lang w:eastAsia="ja-JP"/>
              </w:rPr>
            </w:pPr>
          </w:p>
        </w:tc>
        <w:tc>
          <w:tcPr>
            <w:tcW w:w="630" w:type="dxa"/>
            <w:vAlign w:val="center"/>
          </w:tcPr>
          <w:p>
            <w:pPr>
              <w:shd w:val="clear" w:color="auto" w:fill="EBF1DE" w:themeFill="accent3" w:themeFillTint="32"/>
              <w:rPr>
                <w:highlight w:val="none"/>
                <w:lang w:eastAsia="ja-JP"/>
              </w:rPr>
            </w:pPr>
          </w:p>
        </w:tc>
        <w:tc>
          <w:tcPr>
            <w:tcW w:w="615" w:type="dxa"/>
            <w:vAlign w:val="center"/>
          </w:tcPr>
          <w:p>
            <w:pPr>
              <w:shd w:val="clear" w:color="auto" w:fill="EBF1DE" w:themeFill="accent3" w:themeFillTint="32"/>
              <w:rPr>
                <w:highlight w:val="none"/>
                <w:lang w:eastAsia="ja-JP"/>
              </w:rPr>
            </w:pPr>
          </w:p>
        </w:tc>
        <w:tc>
          <w:tcPr>
            <w:tcW w:w="645" w:type="dxa"/>
            <w:vAlign w:val="center"/>
          </w:tcPr>
          <w:p>
            <w:pPr>
              <w:shd w:val="clear" w:color="auto" w:fill="EBF1DE" w:themeFill="accent3" w:themeFillTint="32"/>
              <w:rPr>
                <w:highlight w:val="none"/>
                <w:lang w:eastAsia="ja-JP"/>
              </w:rPr>
            </w:pPr>
          </w:p>
        </w:tc>
        <w:tc>
          <w:tcPr>
            <w:tcW w:w="637" w:type="dxa"/>
            <w:vAlign w:val="center"/>
          </w:tcPr>
          <w:p>
            <w:pPr>
              <w:shd w:val="clear" w:color="auto" w:fill="EBF1DE" w:themeFill="accent3" w:themeFillTint="32"/>
              <w:rPr>
                <w:highlight w:val="none"/>
                <w:lang w:eastAsia="ja-JP"/>
              </w:rPr>
            </w:pPr>
          </w:p>
        </w:tc>
        <w:tc>
          <w:tcPr>
            <w:tcW w:w="623" w:type="dxa"/>
            <w:vAlign w:val="center"/>
          </w:tcPr>
          <w:p>
            <w:pPr>
              <w:shd w:val="clear" w:color="auto" w:fill="EBF1DE" w:themeFill="accent3" w:themeFillTint="32"/>
              <w:rPr>
                <w:highlight w:val="none"/>
                <w:lang w:eastAsia="ja-JP"/>
              </w:rPr>
            </w:pPr>
          </w:p>
        </w:tc>
        <w:tc>
          <w:tcPr>
            <w:tcW w:w="637" w:type="dxa"/>
            <w:vAlign w:val="center"/>
          </w:tcPr>
          <w:p>
            <w:pPr>
              <w:shd w:val="clear" w:color="auto" w:fill="EBF1DE" w:themeFill="accent3" w:themeFillTint="32"/>
              <w:rPr>
                <w:highlight w:val="none"/>
                <w:lang w:eastAsia="ja-JP"/>
              </w:rPr>
            </w:pPr>
          </w:p>
        </w:tc>
        <w:tc>
          <w:tcPr>
            <w:tcW w:w="688" w:type="dxa"/>
            <w:vAlign w:val="center"/>
          </w:tcPr>
          <w:p>
            <w:pPr>
              <w:shd w:val="clear" w:color="auto" w:fill="EBF1DE" w:themeFill="accent3" w:themeFillTint="32"/>
              <w:rPr>
                <w:highlight w:val="none"/>
                <w:lang w:eastAsia="ja-JP"/>
              </w:rPr>
            </w:pPr>
          </w:p>
        </w:tc>
        <w:tc>
          <w:tcPr>
            <w:tcW w:w="600" w:type="dxa"/>
            <w:vAlign w:val="center"/>
          </w:tcPr>
          <w:p>
            <w:pPr>
              <w:shd w:val="clear" w:color="auto" w:fill="EBF1DE" w:themeFill="accent3" w:themeFillTint="32"/>
              <w:rPr>
                <w:highlight w:val="none"/>
                <w:lang w:eastAsia="ja-JP"/>
              </w:rPr>
            </w:pPr>
          </w:p>
        </w:tc>
        <w:tc>
          <w:tcPr>
            <w:tcW w:w="587" w:type="dxa"/>
            <w:vAlign w:val="center"/>
          </w:tcPr>
          <w:p>
            <w:pPr>
              <w:shd w:val="clear" w:color="auto" w:fill="EBF1DE" w:themeFill="accent3" w:themeFillTint="32"/>
              <w:rPr>
                <w:highlight w:val="none"/>
                <w:lang w:eastAsia="ja-JP"/>
              </w:rPr>
            </w:pPr>
          </w:p>
        </w:tc>
        <w:tc>
          <w:tcPr>
            <w:tcW w:w="650" w:type="dxa"/>
            <w:vAlign w:val="center"/>
          </w:tcPr>
          <w:p>
            <w:pPr>
              <w:shd w:val="clear" w:color="auto" w:fill="EBF1DE" w:themeFill="accent3" w:themeFillTint="32"/>
              <w:rPr>
                <w:highlight w:val="none"/>
                <w:lang w:eastAsia="ja-JP"/>
              </w:rPr>
            </w:pPr>
          </w:p>
        </w:tc>
        <w:tc>
          <w:tcPr>
            <w:tcW w:w="649" w:type="dxa"/>
            <w:vAlign w:val="center"/>
          </w:tcPr>
          <w:p>
            <w:pPr>
              <w:shd w:val="clear" w:color="auto" w:fill="EBF1DE" w:themeFill="accent3" w:themeFillTint="32"/>
              <w:rPr>
                <w:highlight w:val="none"/>
                <w:lang w:eastAsia="ja-JP"/>
              </w:rPr>
            </w:pPr>
          </w:p>
        </w:tc>
        <w:tc>
          <w:tcPr>
            <w:tcW w:w="650" w:type="dxa"/>
            <w:shd w:val="clear" w:color="auto" w:fill="BFBFBF"/>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EBF1DE" w:themeFill="accent3" w:themeFillTint="32"/>
              <w:rPr>
                <w:highlight w:val="none"/>
                <w:lang w:eastAsia="ja-JP"/>
              </w:rPr>
            </w:pPr>
            <w:r>
              <w:rPr>
                <w:rFonts w:hint="eastAsia"/>
                <w:highlight w:val="none"/>
                <w:lang w:val="en-GB"/>
              </w:rPr>
              <w:t>标准条款</w:t>
            </w:r>
          </w:p>
        </w:tc>
        <w:tc>
          <w:tcPr>
            <w:tcW w:w="608" w:type="dxa"/>
            <w:vAlign w:val="center"/>
          </w:tcPr>
          <w:p>
            <w:pPr>
              <w:shd w:val="clear" w:color="auto" w:fill="EBF1DE" w:themeFill="accent3" w:themeFillTint="32"/>
              <w:rPr>
                <w:highlight w:val="none"/>
                <w:lang w:eastAsia="ja-JP"/>
              </w:rPr>
            </w:pPr>
            <w:r>
              <w:rPr>
                <w:rFonts w:hint="eastAsia"/>
                <w:highlight w:val="none"/>
              </w:rPr>
              <w:t>7.1</w:t>
            </w:r>
          </w:p>
        </w:tc>
        <w:tc>
          <w:tcPr>
            <w:tcW w:w="630" w:type="dxa"/>
            <w:vAlign w:val="center"/>
          </w:tcPr>
          <w:p>
            <w:pPr>
              <w:shd w:val="clear" w:color="auto" w:fill="EBF1DE" w:themeFill="accent3" w:themeFillTint="32"/>
              <w:rPr>
                <w:highlight w:val="none"/>
                <w:lang w:eastAsia="ja-JP"/>
              </w:rPr>
            </w:pPr>
            <w:r>
              <w:rPr>
                <w:rFonts w:hint="eastAsia"/>
                <w:highlight w:val="none"/>
              </w:rPr>
              <w:t>7.2</w:t>
            </w:r>
          </w:p>
        </w:tc>
        <w:tc>
          <w:tcPr>
            <w:tcW w:w="615" w:type="dxa"/>
            <w:vAlign w:val="center"/>
          </w:tcPr>
          <w:p>
            <w:pPr>
              <w:shd w:val="clear" w:color="auto" w:fill="EBF1DE" w:themeFill="accent3" w:themeFillTint="32"/>
              <w:rPr>
                <w:highlight w:val="none"/>
                <w:lang w:eastAsia="ja-JP"/>
              </w:rPr>
            </w:pPr>
            <w:r>
              <w:rPr>
                <w:rFonts w:hint="eastAsia"/>
                <w:highlight w:val="none"/>
              </w:rPr>
              <w:t>7.3</w:t>
            </w:r>
          </w:p>
        </w:tc>
        <w:tc>
          <w:tcPr>
            <w:tcW w:w="645" w:type="dxa"/>
            <w:vAlign w:val="center"/>
          </w:tcPr>
          <w:p>
            <w:pPr>
              <w:shd w:val="clear" w:color="auto" w:fill="EBF1DE" w:themeFill="accent3" w:themeFillTint="32"/>
              <w:rPr>
                <w:highlight w:val="none"/>
                <w:lang w:eastAsia="ja-JP"/>
              </w:rPr>
            </w:pPr>
            <w:r>
              <w:rPr>
                <w:rFonts w:hint="eastAsia"/>
                <w:highlight w:val="none"/>
              </w:rPr>
              <w:t>7.4</w:t>
            </w:r>
          </w:p>
        </w:tc>
        <w:tc>
          <w:tcPr>
            <w:tcW w:w="637" w:type="dxa"/>
            <w:vAlign w:val="center"/>
          </w:tcPr>
          <w:p>
            <w:pPr>
              <w:shd w:val="clear" w:color="auto" w:fill="EBF1DE" w:themeFill="accent3" w:themeFillTint="32"/>
              <w:rPr>
                <w:highlight w:val="none"/>
                <w:lang w:eastAsia="ja-JP"/>
              </w:rPr>
            </w:pPr>
            <w:r>
              <w:rPr>
                <w:rFonts w:hint="eastAsia"/>
                <w:highlight w:val="none"/>
              </w:rPr>
              <w:t>7.5</w:t>
            </w:r>
          </w:p>
        </w:tc>
        <w:tc>
          <w:tcPr>
            <w:tcW w:w="623" w:type="dxa"/>
            <w:vAlign w:val="center"/>
          </w:tcPr>
          <w:p>
            <w:pPr>
              <w:shd w:val="clear" w:color="auto" w:fill="EBF1DE" w:themeFill="accent3" w:themeFillTint="32"/>
              <w:rPr>
                <w:highlight w:val="none"/>
                <w:lang w:eastAsia="ja-JP"/>
              </w:rPr>
            </w:pPr>
            <w:r>
              <w:rPr>
                <w:rFonts w:hint="eastAsia"/>
                <w:highlight w:val="none"/>
              </w:rPr>
              <w:t>8.1</w:t>
            </w:r>
          </w:p>
        </w:tc>
        <w:tc>
          <w:tcPr>
            <w:tcW w:w="637" w:type="dxa"/>
            <w:vAlign w:val="center"/>
          </w:tcPr>
          <w:p>
            <w:pPr>
              <w:shd w:val="clear" w:color="auto" w:fill="EBF1DE" w:themeFill="accent3" w:themeFillTint="32"/>
              <w:rPr>
                <w:highlight w:val="none"/>
                <w:lang w:eastAsia="ja-JP"/>
              </w:rPr>
            </w:pPr>
            <w:r>
              <w:rPr>
                <w:rFonts w:hint="eastAsia"/>
                <w:highlight w:val="none"/>
              </w:rPr>
              <w:t>8.2</w:t>
            </w:r>
          </w:p>
        </w:tc>
        <w:tc>
          <w:tcPr>
            <w:tcW w:w="688" w:type="dxa"/>
            <w:vAlign w:val="center"/>
          </w:tcPr>
          <w:p>
            <w:pPr>
              <w:shd w:val="clear" w:color="auto" w:fill="EBF1DE" w:themeFill="accent3" w:themeFillTint="32"/>
              <w:rPr>
                <w:highlight w:val="none"/>
                <w:lang w:eastAsia="ja-JP"/>
              </w:rPr>
            </w:pPr>
            <w:r>
              <w:rPr>
                <w:rFonts w:hint="eastAsia"/>
                <w:highlight w:val="none"/>
              </w:rPr>
              <w:t>8.3</w:t>
            </w:r>
          </w:p>
        </w:tc>
        <w:tc>
          <w:tcPr>
            <w:tcW w:w="600" w:type="dxa"/>
            <w:vAlign w:val="center"/>
          </w:tcPr>
          <w:p>
            <w:pPr>
              <w:shd w:val="clear" w:color="auto" w:fill="EBF1DE" w:themeFill="accent3" w:themeFillTint="32"/>
              <w:rPr>
                <w:highlight w:val="none"/>
              </w:rPr>
            </w:pPr>
            <w:r>
              <w:rPr>
                <w:rFonts w:hint="eastAsia"/>
                <w:highlight w:val="none"/>
              </w:rPr>
              <w:t>8.4</w:t>
            </w:r>
          </w:p>
        </w:tc>
        <w:tc>
          <w:tcPr>
            <w:tcW w:w="587" w:type="dxa"/>
            <w:vAlign w:val="center"/>
          </w:tcPr>
          <w:p>
            <w:pPr>
              <w:shd w:val="clear" w:color="auto" w:fill="EBF1DE" w:themeFill="accent3" w:themeFillTint="32"/>
              <w:rPr>
                <w:highlight w:val="none"/>
              </w:rPr>
            </w:pPr>
            <w:r>
              <w:rPr>
                <w:rFonts w:hint="eastAsia"/>
                <w:highlight w:val="none"/>
              </w:rPr>
              <w:t>8.5</w:t>
            </w:r>
          </w:p>
        </w:tc>
        <w:tc>
          <w:tcPr>
            <w:tcW w:w="650" w:type="dxa"/>
            <w:vAlign w:val="center"/>
          </w:tcPr>
          <w:p>
            <w:pPr>
              <w:shd w:val="clear" w:color="auto" w:fill="EBF1DE" w:themeFill="accent3" w:themeFillTint="32"/>
              <w:rPr>
                <w:highlight w:val="none"/>
                <w:lang w:eastAsia="ja-JP"/>
              </w:rPr>
            </w:pPr>
            <w:r>
              <w:rPr>
                <w:rFonts w:hint="eastAsia"/>
                <w:highlight w:val="none"/>
              </w:rPr>
              <w:t>8.6</w:t>
            </w:r>
          </w:p>
        </w:tc>
        <w:tc>
          <w:tcPr>
            <w:tcW w:w="649" w:type="dxa"/>
            <w:vAlign w:val="center"/>
          </w:tcPr>
          <w:p>
            <w:pPr>
              <w:shd w:val="clear" w:color="auto" w:fill="EBF1DE" w:themeFill="accent3" w:themeFillTint="32"/>
              <w:rPr>
                <w:highlight w:val="none"/>
                <w:lang w:eastAsia="ja-JP"/>
              </w:rPr>
            </w:pPr>
            <w:r>
              <w:rPr>
                <w:rFonts w:hint="eastAsia"/>
                <w:highlight w:val="none"/>
              </w:rPr>
              <w:t>8.7</w:t>
            </w:r>
          </w:p>
        </w:tc>
        <w:tc>
          <w:tcPr>
            <w:tcW w:w="650" w:type="dxa"/>
            <w:vAlign w:val="center"/>
          </w:tcPr>
          <w:p>
            <w:pPr>
              <w:shd w:val="clear" w:color="auto" w:fill="EBF1DE" w:themeFill="accent3" w:themeFillTint="32"/>
              <w:rPr>
                <w:highlight w:val="none"/>
                <w:lang w:eastAsia="ja-JP"/>
              </w:rPr>
            </w:pPr>
            <w:r>
              <w:rPr>
                <w:rFonts w:hint="eastAsia"/>
                <w:highlight w:val="none"/>
              </w:rPr>
              <w:t>8.8</w:t>
            </w:r>
          </w:p>
        </w:tc>
        <w:tc>
          <w:tcPr>
            <w:tcW w:w="650" w:type="dxa"/>
            <w:vAlign w:val="center"/>
          </w:tcPr>
          <w:p>
            <w:pPr>
              <w:shd w:val="clear" w:color="auto" w:fill="EBF1DE" w:themeFill="accent3" w:themeFillTint="32"/>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EBF1DE" w:themeFill="accent3" w:themeFillTint="32"/>
              <w:rPr>
                <w:highlight w:val="none"/>
                <w:lang w:eastAsia="ja-JP"/>
              </w:rPr>
            </w:pPr>
            <w:r>
              <w:rPr>
                <w:rFonts w:hint="eastAsia"/>
                <w:highlight w:val="none"/>
                <w:lang w:val="en-GB"/>
              </w:rPr>
              <w:t>评价*)</w:t>
            </w:r>
          </w:p>
        </w:tc>
        <w:tc>
          <w:tcPr>
            <w:tcW w:w="608" w:type="dxa"/>
            <w:vAlign w:val="center"/>
          </w:tcPr>
          <w:p>
            <w:pPr>
              <w:shd w:val="clear" w:color="auto" w:fill="EBF1DE" w:themeFill="accent3" w:themeFillTint="32"/>
              <w:rPr>
                <w:highlight w:val="none"/>
                <w:lang w:eastAsia="ja-JP"/>
              </w:rPr>
            </w:pPr>
            <w:r>
              <w:rPr>
                <w:rFonts w:hint="eastAsia"/>
                <w:highlight w:val="none"/>
                <w:lang w:val="en-US" w:eastAsia="zh-CN"/>
              </w:rPr>
              <w:t>3</w:t>
            </w:r>
          </w:p>
        </w:tc>
        <w:tc>
          <w:tcPr>
            <w:tcW w:w="630"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15"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45"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37"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23"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37"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88"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00"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587" w:type="dxa"/>
            <w:vAlign w:val="center"/>
          </w:tcPr>
          <w:p>
            <w:pPr>
              <w:shd w:val="clear" w:color="auto" w:fill="EBF1DE" w:themeFill="accent3" w:themeFillTint="32"/>
              <w:rPr>
                <w:highlight w:val="none"/>
                <w:lang w:eastAsia="ja-JP"/>
              </w:rPr>
            </w:pPr>
            <w:r>
              <w:rPr>
                <w:rFonts w:hint="eastAsia"/>
                <w:highlight w:val="none"/>
                <w:lang w:val="en-US" w:eastAsia="zh-CN"/>
              </w:rPr>
              <w:t>3</w:t>
            </w:r>
          </w:p>
        </w:tc>
        <w:tc>
          <w:tcPr>
            <w:tcW w:w="650"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49"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50"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50" w:type="dxa"/>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EBF1DE" w:themeFill="accent3" w:themeFillTint="32"/>
              <w:rPr>
                <w:highlight w:val="none"/>
                <w:lang w:eastAsia="ja-JP"/>
              </w:rPr>
            </w:pPr>
            <w:r>
              <w:rPr>
                <w:rFonts w:hint="eastAsia"/>
                <w:highlight w:val="none"/>
              </w:rPr>
              <w:t>不符合数量</w:t>
            </w:r>
          </w:p>
        </w:tc>
        <w:tc>
          <w:tcPr>
            <w:tcW w:w="608" w:type="dxa"/>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02</w:t>
            </w:r>
          </w:p>
        </w:tc>
        <w:tc>
          <w:tcPr>
            <w:tcW w:w="630" w:type="dxa"/>
            <w:vAlign w:val="center"/>
          </w:tcPr>
          <w:p>
            <w:pPr>
              <w:shd w:val="clear" w:color="auto" w:fill="EBF1DE" w:themeFill="accent3" w:themeFillTint="32"/>
              <w:rPr>
                <w:highlight w:val="none"/>
                <w:lang w:eastAsia="ja-JP"/>
              </w:rPr>
            </w:pPr>
          </w:p>
        </w:tc>
        <w:tc>
          <w:tcPr>
            <w:tcW w:w="615" w:type="dxa"/>
            <w:vAlign w:val="center"/>
          </w:tcPr>
          <w:p>
            <w:pPr>
              <w:shd w:val="clear" w:color="auto" w:fill="EBF1DE" w:themeFill="accent3" w:themeFillTint="32"/>
              <w:rPr>
                <w:highlight w:val="none"/>
                <w:lang w:eastAsia="ja-JP"/>
              </w:rPr>
            </w:pPr>
          </w:p>
        </w:tc>
        <w:tc>
          <w:tcPr>
            <w:tcW w:w="645" w:type="dxa"/>
            <w:vAlign w:val="center"/>
          </w:tcPr>
          <w:p>
            <w:pPr>
              <w:shd w:val="clear" w:color="auto" w:fill="EBF1DE" w:themeFill="accent3" w:themeFillTint="32"/>
              <w:rPr>
                <w:highlight w:val="none"/>
                <w:lang w:eastAsia="ja-JP"/>
              </w:rPr>
            </w:pPr>
          </w:p>
        </w:tc>
        <w:tc>
          <w:tcPr>
            <w:tcW w:w="637" w:type="dxa"/>
            <w:vAlign w:val="center"/>
          </w:tcPr>
          <w:p>
            <w:pPr>
              <w:shd w:val="clear" w:color="auto" w:fill="EBF1DE" w:themeFill="accent3" w:themeFillTint="32"/>
              <w:rPr>
                <w:highlight w:val="none"/>
                <w:lang w:eastAsia="ja-JP"/>
              </w:rPr>
            </w:pPr>
          </w:p>
        </w:tc>
        <w:tc>
          <w:tcPr>
            <w:tcW w:w="623" w:type="dxa"/>
            <w:vAlign w:val="center"/>
          </w:tcPr>
          <w:p>
            <w:pPr>
              <w:shd w:val="clear" w:color="auto" w:fill="EBF1DE" w:themeFill="accent3" w:themeFillTint="32"/>
              <w:rPr>
                <w:highlight w:val="none"/>
                <w:lang w:eastAsia="ja-JP"/>
              </w:rPr>
            </w:pPr>
          </w:p>
        </w:tc>
        <w:tc>
          <w:tcPr>
            <w:tcW w:w="637" w:type="dxa"/>
            <w:tcBorders>
              <w:bottom w:val="single" w:color="auto" w:sz="4" w:space="0"/>
            </w:tcBorders>
            <w:vAlign w:val="center"/>
          </w:tcPr>
          <w:p>
            <w:pPr>
              <w:shd w:val="clear" w:color="auto" w:fill="EBF1DE" w:themeFill="accent3" w:themeFillTint="32"/>
              <w:rPr>
                <w:highlight w:val="none"/>
                <w:lang w:eastAsia="ja-JP"/>
              </w:rPr>
            </w:pPr>
          </w:p>
        </w:tc>
        <w:tc>
          <w:tcPr>
            <w:tcW w:w="688" w:type="dxa"/>
            <w:tcBorders>
              <w:bottom w:val="single" w:color="auto" w:sz="4" w:space="0"/>
            </w:tcBorders>
            <w:vAlign w:val="center"/>
          </w:tcPr>
          <w:p>
            <w:pPr>
              <w:shd w:val="clear" w:color="auto" w:fill="EBF1DE" w:themeFill="accent3" w:themeFillTint="32"/>
              <w:rPr>
                <w:highlight w:val="none"/>
                <w:lang w:eastAsia="ja-JP"/>
              </w:rPr>
            </w:pPr>
          </w:p>
        </w:tc>
        <w:tc>
          <w:tcPr>
            <w:tcW w:w="600" w:type="dxa"/>
            <w:tcBorders>
              <w:bottom w:val="single" w:color="auto" w:sz="4" w:space="0"/>
            </w:tcBorders>
            <w:vAlign w:val="center"/>
          </w:tcPr>
          <w:p>
            <w:pPr>
              <w:shd w:val="clear" w:color="auto" w:fill="EBF1DE" w:themeFill="accent3" w:themeFillTint="32"/>
              <w:rPr>
                <w:highlight w:val="none"/>
                <w:lang w:eastAsia="ja-JP"/>
              </w:rPr>
            </w:pPr>
          </w:p>
        </w:tc>
        <w:tc>
          <w:tcPr>
            <w:tcW w:w="587" w:type="dxa"/>
            <w:tcBorders>
              <w:bottom w:val="single" w:color="auto" w:sz="4" w:space="0"/>
            </w:tcBorders>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01</w:t>
            </w:r>
          </w:p>
        </w:tc>
        <w:tc>
          <w:tcPr>
            <w:tcW w:w="650" w:type="dxa"/>
            <w:tcBorders>
              <w:bottom w:val="single" w:color="auto" w:sz="4" w:space="0"/>
            </w:tcBorders>
            <w:vAlign w:val="center"/>
          </w:tcPr>
          <w:p>
            <w:pPr>
              <w:shd w:val="clear" w:color="auto" w:fill="EBF1DE" w:themeFill="accent3" w:themeFillTint="32"/>
              <w:rPr>
                <w:highlight w:val="none"/>
                <w:lang w:eastAsia="ja-JP"/>
              </w:rPr>
            </w:pPr>
          </w:p>
        </w:tc>
        <w:tc>
          <w:tcPr>
            <w:tcW w:w="649" w:type="dxa"/>
            <w:tcBorders>
              <w:bottom w:val="single" w:color="auto" w:sz="4" w:space="0"/>
            </w:tcBorders>
            <w:vAlign w:val="center"/>
          </w:tcPr>
          <w:p>
            <w:pPr>
              <w:shd w:val="clear" w:color="auto" w:fill="EBF1DE" w:themeFill="accent3" w:themeFillTint="32"/>
              <w:rPr>
                <w:highlight w:val="none"/>
                <w:lang w:eastAsia="ja-JP"/>
              </w:rPr>
            </w:pPr>
          </w:p>
        </w:tc>
        <w:tc>
          <w:tcPr>
            <w:tcW w:w="650" w:type="dxa"/>
            <w:tcBorders>
              <w:bottom w:val="single" w:color="auto" w:sz="4" w:space="0"/>
            </w:tcBorders>
            <w:vAlign w:val="center"/>
          </w:tcPr>
          <w:p>
            <w:pPr>
              <w:shd w:val="clear" w:color="auto" w:fill="EBF1DE" w:themeFill="accent3" w:themeFillTint="32"/>
              <w:rPr>
                <w:highlight w:val="none"/>
                <w:lang w:eastAsia="ja-JP"/>
              </w:rPr>
            </w:pPr>
          </w:p>
        </w:tc>
        <w:tc>
          <w:tcPr>
            <w:tcW w:w="650" w:type="dxa"/>
            <w:tcBorders>
              <w:bottom w:val="single" w:color="auto" w:sz="4" w:space="0"/>
            </w:tcBorders>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EBF1DE" w:themeFill="accent3" w:themeFillTint="32"/>
              <w:rPr>
                <w:highlight w:val="none"/>
                <w:lang w:eastAsia="ja-JP"/>
              </w:rPr>
            </w:pPr>
            <w:r>
              <w:rPr>
                <w:rFonts w:hint="eastAsia"/>
                <w:highlight w:val="none"/>
                <w:lang w:val="en-GB"/>
              </w:rPr>
              <w:t>标准条款</w:t>
            </w:r>
          </w:p>
        </w:tc>
        <w:tc>
          <w:tcPr>
            <w:tcW w:w="608" w:type="dxa"/>
            <w:vAlign w:val="center"/>
          </w:tcPr>
          <w:p>
            <w:pPr>
              <w:shd w:val="clear" w:color="auto" w:fill="EBF1DE" w:themeFill="accent3" w:themeFillTint="32"/>
              <w:rPr>
                <w:highlight w:val="none"/>
                <w:lang w:eastAsia="ja-JP"/>
              </w:rPr>
            </w:pPr>
            <w:r>
              <w:rPr>
                <w:rFonts w:hint="eastAsia"/>
                <w:highlight w:val="none"/>
              </w:rPr>
              <w:t>9.1</w:t>
            </w:r>
          </w:p>
        </w:tc>
        <w:tc>
          <w:tcPr>
            <w:tcW w:w="630" w:type="dxa"/>
            <w:vAlign w:val="center"/>
          </w:tcPr>
          <w:p>
            <w:pPr>
              <w:shd w:val="clear" w:color="auto" w:fill="EBF1DE" w:themeFill="accent3" w:themeFillTint="32"/>
              <w:rPr>
                <w:highlight w:val="none"/>
                <w:lang w:eastAsia="ja-JP"/>
              </w:rPr>
            </w:pPr>
            <w:r>
              <w:rPr>
                <w:rFonts w:hint="eastAsia"/>
                <w:highlight w:val="none"/>
              </w:rPr>
              <w:t>9.2</w:t>
            </w:r>
          </w:p>
        </w:tc>
        <w:tc>
          <w:tcPr>
            <w:tcW w:w="615" w:type="dxa"/>
            <w:vAlign w:val="center"/>
          </w:tcPr>
          <w:p>
            <w:pPr>
              <w:shd w:val="clear" w:color="auto" w:fill="EBF1DE" w:themeFill="accent3" w:themeFillTint="32"/>
              <w:rPr>
                <w:highlight w:val="none"/>
                <w:lang w:eastAsia="ja-JP"/>
              </w:rPr>
            </w:pPr>
            <w:r>
              <w:rPr>
                <w:rFonts w:hint="eastAsia"/>
                <w:highlight w:val="none"/>
              </w:rPr>
              <w:t>9.3</w:t>
            </w:r>
          </w:p>
        </w:tc>
        <w:tc>
          <w:tcPr>
            <w:tcW w:w="645" w:type="dxa"/>
            <w:vAlign w:val="center"/>
          </w:tcPr>
          <w:p>
            <w:pPr>
              <w:shd w:val="clear" w:color="auto" w:fill="EBF1DE" w:themeFill="accent3" w:themeFillTint="32"/>
              <w:rPr>
                <w:highlight w:val="none"/>
                <w:lang w:eastAsia="ja-JP"/>
              </w:rPr>
            </w:pPr>
            <w:r>
              <w:rPr>
                <w:rFonts w:hint="eastAsia"/>
                <w:highlight w:val="none"/>
              </w:rPr>
              <w:t>10.1</w:t>
            </w:r>
          </w:p>
        </w:tc>
        <w:tc>
          <w:tcPr>
            <w:tcW w:w="637" w:type="dxa"/>
            <w:vAlign w:val="center"/>
          </w:tcPr>
          <w:p>
            <w:pPr>
              <w:shd w:val="clear" w:color="auto" w:fill="EBF1DE" w:themeFill="accent3" w:themeFillTint="32"/>
              <w:rPr>
                <w:highlight w:val="none"/>
                <w:lang w:eastAsia="ja-JP"/>
              </w:rPr>
            </w:pPr>
            <w:r>
              <w:rPr>
                <w:rFonts w:hint="eastAsia"/>
                <w:highlight w:val="none"/>
              </w:rPr>
              <w:t>10.2</w:t>
            </w:r>
          </w:p>
        </w:tc>
        <w:tc>
          <w:tcPr>
            <w:tcW w:w="623" w:type="dxa"/>
            <w:vAlign w:val="center"/>
          </w:tcPr>
          <w:p>
            <w:pPr>
              <w:shd w:val="clear" w:color="auto" w:fill="EBF1DE" w:themeFill="accent3" w:themeFillTint="32"/>
              <w:rPr>
                <w:highlight w:val="none"/>
                <w:lang w:eastAsia="ja-JP"/>
              </w:rPr>
            </w:pPr>
            <w:r>
              <w:rPr>
                <w:rFonts w:hint="eastAsia"/>
                <w:highlight w:val="none"/>
              </w:rPr>
              <w:t>10.3</w:t>
            </w:r>
          </w:p>
        </w:tc>
        <w:tc>
          <w:tcPr>
            <w:tcW w:w="637" w:type="dxa"/>
            <w:shd w:val="pct25" w:color="auto" w:fill="auto"/>
            <w:vAlign w:val="center"/>
          </w:tcPr>
          <w:p>
            <w:pPr>
              <w:shd w:val="clear" w:color="auto" w:fill="EBF1DE" w:themeFill="accent3" w:themeFillTint="32"/>
              <w:rPr>
                <w:highlight w:val="none"/>
                <w:lang w:eastAsia="ja-JP"/>
              </w:rPr>
            </w:pPr>
          </w:p>
        </w:tc>
        <w:tc>
          <w:tcPr>
            <w:tcW w:w="688" w:type="dxa"/>
            <w:shd w:val="pct25" w:color="auto" w:fill="auto"/>
            <w:vAlign w:val="center"/>
          </w:tcPr>
          <w:p>
            <w:pPr>
              <w:shd w:val="clear" w:color="auto" w:fill="EBF1DE" w:themeFill="accent3" w:themeFillTint="32"/>
              <w:rPr>
                <w:highlight w:val="none"/>
                <w:lang w:eastAsia="ja-JP"/>
              </w:rPr>
            </w:pPr>
          </w:p>
        </w:tc>
        <w:tc>
          <w:tcPr>
            <w:tcW w:w="600" w:type="dxa"/>
            <w:shd w:val="pct25" w:color="auto" w:fill="auto"/>
            <w:vAlign w:val="center"/>
          </w:tcPr>
          <w:p>
            <w:pPr>
              <w:shd w:val="clear" w:color="auto" w:fill="EBF1DE" w:themeFill="accent3" w:themeFillTint="32"/>
              <w:rPr>
                <w:highlight w:val="none"/>
                <w:lang w:eastAsia="ja-JP"/>
              </w:rPr>
            </w:pPr>
          </w:p>
        </w:tc>
        <w:tc>
          <w:tcPr>
            <w:tcW w:w="587" w:type="dxa"/>
            <w:shd w:val="pct25" w:color="auto" w:fill="auto"/>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c>
          <w:tcPr>
            <w:tcW w:w="649" w:type="dxa"/>
            <w:shd w:val="pct25" w:color="auto" w:fill="auto"/>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EBF1DE" w:themeFill="accent3" w:themeFillTint="32"/>
              <w:rPr>
                <w:highlight w:val="none"/>
                <w:lang w:eastAsia="ja-JP"/>
              </w:rPr>
            </w:pPr>
            <w:r>
              <w:rPr>
                <w:rFonts w:hint="eastAsia"/>
                <w:highlight w:val="none"/>
                <w:lang w:val="en-GB"/>
              </w:rPr>
              <w:t>评价*)</w:t>
            </w:r>
          </w:p>
        </w:tc>
        <w:tc>
          <w:tcPr>
            <w:tcW w:w="608"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30"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15"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45"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37"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23" w:type="dxa"/>
            <w:vAlign w:val="center"/>
          </w:tcPr>
          <w:p>
            <w:pPr>
              <w:shd w:val="clear" w:color="auto" w:fill="EBF1DE" w:themeFill="accent3" w:themeFillTint="32"/>
              <w:rPr>
                <w:highlight w:val="none"/>
                <w:lang w:eastAsia="ja-JP"/>
              </w:rPr>
            </w:pPr>
            <w:r>
              <w:rPr>
                <w:rFonts w:hint="eastAsia"/>
                <w:highlight w:val="none"/>
                <w:lang w:val="en-US" w:eastAsia="zh-CN"/>
              </w:rPr>
              <w:t>1</w:t>
            </w:r>
          </w:p>
        </w:tc>
        <w:tc>
          <w:tcPr>
            <w:tcW w:w="637" w:type="dxa"/>
            <w:shd w:val="pct25" w:color="auto" w:fill="auto"/>
            <w:vAlign w:val="center"/>
          </w:tcPr>
          <w:p>
            <w:pPr>
              <w:shd w:val="clear" w:color="auto" w:fill="EBF1DE" w:themeFill="accent3" w:themeFillTint="32"/>
              <w:rPr>
                <w:highlight w:val="none"/>
                <w:lang w:eastAsia="ja-JP"/>
              </w:rPr>
            </w:pPr>
          </w:p>
        </w:tc>
        <w:tc>
          <w:tcPr>
            <w:tcW w:w="688" w:type="dxa"/>
            <w:shd w:val="pct25" w:color="auto" w:fill="auto"/>
            <w:vAlign w:val="center"/>
          </w:tcPr>
          <w:p>
            <w:pPr>
              <w:shd w:val="clear" w:color="auto" w:fill="EBF1DE" w:themeFill="accent3" w:themeFillTint="32"/>
              <w:rPr>
                <w:highlight w:val="none"/>
                <w:lang w:eastAsia="ja-JP"/>
              </w:rPr>
            </w:pPr>
          </w:p>
        </w:tc>
        <w:tc>
          <w:tcPr>
            <w:tcW w:w="600" w:type="dxa"/>
            <w:shd w:val="pct25" w:color="auto" w:fill="auto"/>
            <w:vAlign w:val="center"/>
          </w:tcPr>
          <w:p>
            <w:pPr>
              <w:shd w:val="clear" w:color="auto" w:fill="EBF1DE" w:themeFill="accent3" w:themeFillTint="32"/>
              <w:rPr>
                <w:highlight w:val="none"/>
                <w:lang w:eastAsia="ja-JP"/>
              </w:rPr>
            </w:pPr>
          </w:p>
        </w:tc>
        <w:tc>
          <w:tcPr>
            <w:tcW w:w="587" w:type="dxa"/>
            <w:shd w:val="pct25" w:color="auto" w:fill="auto"/>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c>
          <w:tcPr>
            <w:tcW w:w="649" w:type="dxa"/>
            <w:shd w:val="pct25" w:color="auto" w:fill="auto"/>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EBF1DE" w:themeFill="accent3" w:themeFillTint="32"/>
              <w:rPr>
                <w:highlight w:val="none"/>
                <w:lang w:eastAsia="ja-JP"/>
              </w:rPr>
            </w:pPr>
            <w:r>
              <w:rPr>
                <w:rFonts w:hint="eastAsia"/>
                <w:highlight w:val="none"/>
              </w:rPr>
              <w:t>不符合数量</w:t>
            </w:r>
          </w:p>
        </w:tc>
        <w:tc>
          <w:tcPr>
            <w:tcW w:w="608" w:type="dxa"/>
            <w:vAlign w:val="center"/>
          </w:tcPr>
          <w:p>
            <w:pPr>
              <w:shd w:val="clear" w:color="auto" w:fill="EBF1DE" w:themeFill="accent3" w:themeFillTint="32"/>
              <w:rPr>
                <w:highlight w:val="none"/>
                <w:lang w:eastAsia="ja-JP"/>
              </w:rPr>
            </w:pPr>
          </w:p>
        </w:tc>
        <w:tc>
          <w:tcPr>
            <w:tcW w:w="630" w:type="dxa"/>
            <w:vAlign w:val="center"/>
          </w:tcPr>
          <w:p>
            <w:pPr>
              <w:shd w:val="clear" w:color="auto" w:fill="EBF1DE" w:themeFill="accent3" w:themeFillTint="32"/>
              <w:rPr>
                <w:highlight w:val="none"/>
                <w:lang w:eastAsia="ja-JP"/>
              </w:rPr>
            </w:pPr>
          </w:p>
        </w:tc>
        <w:tc>
          <w:tcPr>
            <w:tcW w:w="615" w:type="dxa"/>
            <w:vAlign w:val="center"/>
          </w:tcPr>
          <w:p>
            <w:pPr>
              <w:shd w:val="clear" w:color="auto" w:fill="EBF1DE" w:themeFill="accent3" w:themeFillTint="32"/>
              <w:rPr>
                <w:highlight w:val="none"/>
                <w:lang w:eastAsia="ja-JP"/>
              </w:rPr>
            </w:pPr>
          </w:p>
        </w:tc>
        <w:tc>
          <w:tcPr>
            <w:tcW w:w="645" w:type="dxa"/>
            <w:vAlign w:val="center"/>
          </w:tcPr>
          <w:p>
            <w:pPr>
              <w:shd w:val="clear" w:color="auto" w:fill="EBF1DE" w:themeFill="accent3" w:themeFillTint="32"/>
              <w:rPr>
                <w:highlight w:val="none"/>
                <w:lang w:eastAsia="ja-JP"/>
              </w:rPr>
            </w:pPr>
          </w:p>
        </w:tc>
        <w:tc>
          <w:tcPr>
            <w:tcW w:w="637" w:type="dxa"/>
            <w:vAlign w:val="center"/>
          </w:tcPr>
          <w:p>
            <w:pPr>
              <w:shd w:val="clear" w:color="auto" w:fill="EBF1DE" w:themeFill="accent3" w:themeFillTint="32"/>
              <w:rPr>
                <w:highlight w:val="none"/>
                <w:lang w:eastAsia="ja-JP"/>
              </w:rPr>
            </w:pPr>
          </w:p>
        </w:tc>
        <w:tc>
          <w:tcPr>
            <w:tcW w:w="623" w:type="dxa"/>
            <w:vAlign w:val="center"/>
          </w:tcPr>
          <w:p>
            <w:pPr>
              <w:shd w:val="clear" w:color="auto" w:fill="EBF1DE" w:themeFill="accent3" w:themeFillTint="32"/>
              <w:rPr>
                <w:highlight w:val="none"/>
                <w:lang w:eastAsia="ja-JP"/>
              </w:rPr>
            </w:pPr>
          </w:p>
        </w:tc>
        <w:tc>
          <w:tcPr>
            <w:tcW w:w="637" w:type="dxa"/>
            <w:shd w:val="pct25" w:color="auto" w:fill="auto"/>
            <w:vAlign w:val="center"/>
          </w:tcPr>
          <w:p>
            <w:pPr>
              <w:shd w:val="clear" w:color="auto" w:fill="EBF1DE" w:themeFill="accent3" w:themeFillTint="32"/>
              <w:rPr>
                <w:highlight w:val="none"/>
                <w:lang w:eastAsia="ja-JP"/>
              </w:rPr>
            </w:pPr>
          </w:p>
        </w:tc>
        <w:tc>
          <w:tcPr>
            <w:tcW w:w="688" w:type="dxa"/>
            <w:shd w:val="pct25" w:color="auto" w:fill="auto"/>
            <w:vAlign w:val="center"/>
          </w:tcPr>
          <w:p>
            <w:pPr>
              <w:shd w:val="clear" w:color="auto" w:fill="EBF1DE" w:themeFill="accent3" w:themeFillTint="32"/>
              <w:rPr>
                <w:highlight w:val="none"/>
                <w:lang w:eastAsia="ja-JP"/>
              </w:rPr>
            </w:pPr>
          </w:p>
        </w:tc>
        <w:tc>
          <w:tcPr>
            <w:tcW w:w="600" w:type="dxa"/>
            <w:shd w:val="pct25" w:color="auto" w:fill="auto"/>
            <w:vAlign w:val="center"/>
          </w:tcPr>
          <w:p>
            <w:pPr>
              <w:shd w:val="clear" w:color="auto" w:fill="EBF1DE" w:themeFill="accent3" w:themeFillTint="32"/>
              <w:rPr>
                <w:highlight w:val="none"/>
                <w:lang w:eastAsia="ja-JP"/>
              </w:rPr>
            </w:pPr>
          </w:p>
        </w:tc>
        <w:tc>
          <w:tcPr>
            <w:tcW w:w="587" w:type="dxa"/>
            <w:shd w:val="pct25" w:color="auto" w:fill="auto"/>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c>
          <w:tcPr>
            <w:tcW w:w="649" w:type="dxa"/>
            <w:shd w:val="pct25" w:color="auto" w:fill="auto"/>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c>
          <w:tcPr>
            <w:tcW w:w="650" w:type="dxa"/>
            <w:shd w:val="pct25" w:color="auto" w:fill="auto"/>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=符合</w:t>
      </w:r>
    </w:p>
    <w:p>
      <w:pPr>
        <w:shd w:val="clear" w:color="auto" w:fill="EBF1DE" w:themeFill="accent3" w:themeFillTint="32"/>
      </w:pPr>
      <w:r>
        <w:tab/>
      </w:r>
      <w:r>
        <w:tab/>
      </w:r>
      <w:r>
        <w:t>2 =这次审核没审</w:t>
      </w:r>
    </w:p>
    <w:p>
      <w:pPr>
        <w:shd w:val="clear" w:color="auto" w:fill="EBF1DE" w:themeFill="accent3" w:themeFillTint="32"/>
      </w:pPr>
      <w:r>
        <w:tab/>
      </w:r>
      <w:r>
        <w:tab/>
      </w:r>
      <w:r>
        <w:t xml:space="preserve">3 =失效/不符合(参见不符合报告)  </w:t>
      </w:r>
    </w:p>
    <w:p>
      <w:pPr>
        <w:shd w:val="clear" w:color="auto" w:fill="EBF1DE" w:themeFill="accent3" w:themeFillTint="32"/>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2"/>
        <w:rFonts w:hint="default"/>
      </w:rPr>
    </w:pPr>
    <w:r>
      <w:rPr>
        <w:rStyle w:val="22"/>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7"/>
      <w:pBdr>
        <w:bottom w:val="single" w:color="auto" w:sz="4" w:space="1"/>
      </w:pBdr>
      <w:spacing w:line="320" w:lineRule="exact"/>
      <w:ind w:firstLine="848" w:firstLineChars="449"/>
      <w:jc w:val="left"/>
    </w:pPr>
    <w:r>
      <w:rPr>
        <w:rStyle w:val="22"/>
        <w:rFonts w:hint="default"/>
        <w:w w:val="90"/>
      </w:rPr>
      <w:t>Beijing International Standard united Certification Co.,Ltd.</w:t>
    </w:r>
    <w:r>
      <w:rPr>
        <w:rStyle w:val="22"/>
        <w:rFonts w:hint="default"/>
      </w:rPr>
      <w:tab/>
    </w:r>
    <w:r>
      <w:rPr>
        <w:rStyle w:val="22"/>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5437F"/>
    <w:multiLevelType w:val="singleLevel"/>
    <w:tmpl w:val="8075437F"/>
    <w:lvl w:ilvl="0" w:tentative="0">
      <w:start w:val="1"/>
      <w:numFmt w:val="decimal"/>
      <w:suff w:val="nothing"/>
      <w:lvlText w:val="%1）"/>
      <w:lvlJc w:val="left"/>
      <w:pPr>
        <w:ind w:left="-840"/>
      </w:pPr>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EE17838D"/>
    <w:multiLevelType w:val="singleLevel"/>
    <w:tmpl w:val="EE17838D"/>
    <w:lvl w:ilvl="0" w:tentative="0">
      <w:start w:val="1"/>
      <w:numFmt w:val="decimal"/>
      <w:suff w:val="nothing"/>
      <w:lvlText w:val="%1）"/>
      <w:lvlJc w:val="left"/>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0CB6FD1"/>
    <w:rsid w:val="0C935725"/>
    <w:rsid w:val="1EE026A4"/>
    <w:rsid w:val="221026C4"/>
    <w:rsid w:val="2E620C54"/>
    <w:rsid w:val="5E2A6A47"/>
    <w:rsid w:val="642378F9"/>
    <w:rsid w:val="67193A35"/>
    <w:rsid w:val="6DD84A19"/>
    <w:rsid w:val="6E2A6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qFormat/>
    <w:uiPriority w:val="0"/>
    <w:pPr>
      <w:ind w:firstLine="420" w:firstLineChars="100"/>
    </w:pPr>
  </w:style>
  <w:style w:type="paragraph" w:styleId="11">
    <w:name w:val="Body Text First Indent 2"/>
    <w:basedOn w:val="4"/>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customStyle="1" w:styleId="16">
    <w:name w:val="表格文字"/>
    <w:basedOn w:val="1"/>
    <w:qFormat/>
    <w:uiPriority w:val="0"/>
    <w:pPr>
      <w:spacing w:before="25" w:after="25"/>
    </w:pPr>
    <w:rPr>
      <w:bCs/>
      <w:spacing w:val="10"/>
    </w:rPr>
  </w:style>
  <w:style w:type="paragraph" w:styleId="17">
    <w:name w:val="List Paragraph"/>
    <w:basedOn w:val="1"/>
    <w:qFormat/>
    <w:uiPriority w:val="34"/>
    <w:pPr>
      <w:ind w:firstLine="420" w:firstLineChars="200"/>
    </w:pPr>
  </w:style>
  <w:style w:type="character" w:customStyle="1" w:styleId="18">
    <w:name w:val="页眉 Char1"/>
    <w:basedOn w:val="14"/>
    <w:link w:val="7"/>
    <w:qFormat/>
    <w:uiPriority w:val="99"/>
    <w:rPr>
      <w:rFonts w:ascii="Times New Roman" w:hAnsi="Times New Roman" w:eastAsia="宋体" w:cs="Times New Roman"/>
      <w:sz w:val="18"/>
      <w:szCs w:val="18"/>
    </w:rPr>
  </w:style>
  <w:style w:type="character" w:customStyle="1" w:styleId="19">
    <w:name w:val="页脚 Char"/>
    <w:basedOn w:val="14"/>
    <w:link w:val="6"/>
    <w:qFormat/>
    <w:uiPriority w:val="99"/>
    <w:rPr>
      <w:rFonts w:ascii="Times New Roman" w:hAnsi="Times New Roman" w:eastAsia="宋体" w:cs="Times New Roman"/>
      <w:sz w:val="18"/>
      <w:szCs w:val="18"/>
    </w:rPr>
  </w:style>
  <w:style w:type="character" w:customStyle="1" w:styleId="20">
    <w:name w:val="批注框文本 Char"/>
    <w:basedOn w:val="14"/>
    <w:link w:val="5"/>
    <w:semiHidden/>
    <w:qFormat/>
    <w:uiPriority w:val="99"/>
    <w:rPr>
      <w:rFonts w:ascii="Times New Roman" w:hAnsi="Times New Roman" w:eastAsia="宋体" w:cs="Times New Roman"/>
      <w:sz w:val="18"/>
      <w:szCs w:val="18"/>
    </w:rPr>
  </w:style>
  <w:style w:type="character" w:customStyle="1" w:styleId="21">
    <w:name w:val="页眉 Char"/>
    <w:qFormat/>
    <w:uiPriority w:val="0"/>
    <w:rPr>
      <w:kern w:val="2"/>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TM_accreditation"/>
    <w:basedOn w:val="1"/>
    <w:qFormat/>
    <w:uiPriority w:val="0"/>
    <w:pPr>
      <w:spacing w:before="40" w:after="40"/>
    </w:pPr>
    <w:rPr>
      <w:rFonts w:eastAsia="Times New Roman"/>
      <w:sz w:val="20"/>
      <w:szCs w:val="20"/>
      <w:lang w:val="en-GB" w:eastAsia="de-DE"/>
    </w:rPr>
  </w:style>
  <w:style w:type="paragraph" w:customStyle="1" w:styleId="2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14695</Words>
  <Characters>15932</Characters>
  <Lines>290</Lines>
  <Paragraphs>81</Paragraphs>
  <TotalTime>2</TotalTime>
  <ScaleCrop>false</ScaleCrop>
  <LinksUpToDate>false</LinksUpToDate>
  <CharactersWithSpaces>17964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2022-08-16T02:15:44Z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