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938"/>
        <w:gridCol w:w="1"/>
        <w:gridCol w:w="744"/>
        <w:gridCol w:w="1"/>
        <w:gridCol w:w="9248"/>
        <w:gridCol w:w="1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9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负责人：施玉林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秦建峰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85" w:type="dxa"/>
            <w:vMerge w:val="continue"/>
            <w:shd w:val="clear" w:color="auto" w:fill="auto"/>
            <w:vAlign w:val="center"/>
          </w:tcPr>
          <w:p/>
        </w:tc>
        <w:tc>
          <w:tcPr>
            <w:tcW w:w="938" w:type="dxa"/>
            <w:vMerge w:val="continue"/>
            <w:shd w:val="clear" w:color="auto" w:fill="auto"/>
            <w:vAlign w:val="center"/>
          </w:tcPr>
          <w:p/>
        </w:tc>
        <w:tc>
          <w:tcPr>
            <w:tcW w:w="9994" w:type="dxa"/>
            <w:gridSpan w:val="4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审核员：肖新龙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2-08-03日上午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85" w:type="dxa"/>
            <w:vMerge w:val="continue"/>
            <w:shd w:val="clear" w:color="auto" w:fill="auto"/>
            <w:vAlign w:val="center"/>
          </w:tcPr>
          <w:p/>
        </w:tc>
        <w:tc>
          <w:tcPr>
            <w:tcW w:w="938" w:type="dxa"/>
            <w:vMerge w:val="continue"/>
            <w:shd w:val="clear" w:color="auto" w:fill="auto"/>
            <w:vAlign w:val="center"/>
          </w:tcPr>
          <w:p/>
        </w:tc>
        <w:tc>
          <w:tcPr>
            <w:tcW w:w="9994" w:type="dxa"/>
            <w:gridSpan w:val="4"/>
            <w:shd w:val="clear" w:color="auto" w:fill="auto"/>
            <w:vAlign w:val="center"/>
          </w:tcPr>
          <w:p>
            <w:pPr>
              <w:tabs>
                <w:tab w:val="left" w:pos="709"/>
              </w:tabs>
              <w:ind w:right="57"/>
              <w:jc w:val="left"/>
            </w:pPr>
            <w:r>
              <w:rPr>
                <w:rFonts w:hint="eastAsia"/>
                <w:sz w:val="24"/>
                <w:szCs w:val="24"/>
              </w:rPr>
              <w:t>审核条款：FSMS：4.1/4.2/4.3/4.4/5.1/5.2/5.3/6.1/6.2/6.3/7.1.1/</w:t>
            </w:r>
            <w:r>
              <w:rPr>
                <w:sz w:val="24"/>
                <w:szCs w:val="24"/>
              </w:rPr>
              <w:t>7.4</w:t>
            </w:r>
            <w:r>
              <w:rPr>
                <w:rFonts w:hint="eastAsia"/>
                <w:sz w:val="24"/>
                <w:szCs w:val="24"/>
              </w:rPr>
              <w:t>/9.1.1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9.2/</w:t>
            </w:r>
            <w:r>
              <w:rPr>
                <w:rFonts w:hint="eastAsia"/>
                <w:sz w:val="24"/>
                <w:szCs w:val="24"/>
              </w:rPr>
              <w:t>9.3/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10.1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10.2/10.3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70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09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09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市场客户对配送行业要求越来越高，比如要求体系化管理等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09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099" w:type="dxa"/>
                </w:tcPr>
                <w:p>
                  <w:pPr>
                    <w:pStyle w:val="9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经营多年，核心人员较为稳定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09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经营十余年，客户群体稳定，客户认可度较高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099" w:type="dxa"/>
                </w:tcPr>
                <w:p>
                  <w:pPr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食品销售行业，人员学历较低，对体系化管理的要求学习较慢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09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源头的食材安全控制不当，导致农残、兽残等超标、顾客投诉；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配送不及时，导致客户满意度降低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09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经营多年，经验丰富，通过体系导入，提升人员食品安全意识，赢得更多新客户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《组织环境内外部因素分析汇总表》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514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11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武汉市洪山区市场监督管理局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武汉恒立辉商贸有限公司、湖北优鲜来生鲜食品配送有限公司等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武汉稻真香食品有限公司、武汉大方学校、武汉笼上蒸食品有限公司等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普通大众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☑良好的使用感受</w:t>
                  </w:r>
                </w:p>
                <w:p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" w:hRule="atLeast"/>
              </w:trPr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白沙洲市场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管理手册第4.3条款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0000FF"/>
                      <w:szCs w:val="21"/>
                    </w:rPr>
                  </w:pPr>
                  <w:r>
                    <w:rPr>
                      <w:rFonts w:hint="eastAsia"/>
                      <w:sz w:val="20"/>
                    </w:rPr>
                    <w:t>预包装食品（含冷冻畜禽肉）销售、农副产品（蔬菜、鲜肉、水产品）销售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hint="default" w:ascii="Times New Roman" w:hAnsi="Times New Roman" w:cs="Times New Roman"/>
                      <w:color w:val="0000FF"/>
                    </w:rPr>
                  </w:pPr>
                  <w:r>
                    <w:rPr>
                      <w:rFonts w:hint="eastAsia"/>
                      <w:sz w:val="20"/>
                    </w:rPr>
                    <w:t>位于洪山区青菱乡张家湾特一号海鲜大市场鲜肉1区19号商铺湖北宜达鲜农副产品有限公司销售区的预包装食品（含冷冻畜禽肉）销售、农副产品（蔬菜、鲜肉、水产品）销售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cs="Times New Roman" w:asciiTheme="minorEastAsia" w:hAnsiTheme="minorEastAsia" w:eastAsiaTheme="minorEastAsia"/>
                      <w:color w:val="0000FF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0"/>
                    </w:rPr>
                    <w:t>洪山区青菱乡张家湾特一号海鲜大市场鲜肉1区19号商铺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cs="Times New Roman" w:asciiTheme="minorEastAsia" w:hAnsiTheme="minorEastAsia" w:eastAsiaTheme="minorEastAsia"/>
                      <w:color w:val="0000FF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0"/>
                    </w:rPr>
                    <w:t>洪山区青菱乡张家湾特一号海鲜大市场鲜肉1区19号商铺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FF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不涉及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0000FF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不涉及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体系建立以来，</w:t>
                  </w:r>
                  <w:r>
                    <w:rPr>
                      <w:rFonts w:hint="eastAsia"/>
                      <w:color w:val="0000FF"/>
                    </w:rPr>
                    <w:t>2</w:t>
                  </w:r>
                  <w:r>
                    <w:rPr>
                      <w:color w:val="0000FF"/>
                    </w:rPr>
                    <w:t>0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22.01.15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审核周期内未发生变化</w:t>
                  </w:r>
                </w:p>
              </w:tc>
              <w:tc>
                <w:tcPr>
                  <w:tcW w:w="1686" w:type="dxa"/>
                </w:tcPr>
                <w:p/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□设备维修   □人员培训 □PRP和OPRP、HACCP验证  ☑其他—无外包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和“0.5各部门及岗位职责”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  和“0.2 食品安全方针、目标”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74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widowControl/>
              <w:spacing w:before="40"/>
              <w:ind w:firstLine="211" w:firstLineChars="100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  <w:lang w:val="en-US" w:eastAsia="zh-CN"/>
              </w:rPr>
              <w:t>安全卫生，顾客满意，持续改善，行业先锋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val="en-US" w:eastAsia="zh-CN"/>
              </w:rPr>
              <w:t>-投标书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</w:t>
            </w:r>
            <w:r>
              <w:rPr>
                <w:rFonts w:hint="eastAsia"/>
                <w:lang w:val="en-US" w:eastAsia="zh-CN"/>
              </w:rPr>
              <w:t xml:space="preserve">11.1 </w:t>
            </w:r>
            <w:r>
              <w:rPr>
                <w:rFonts w:hint="eastAsia"/>
              </w:rPr>
              <w:t>职能分配表”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8"/>
              <w:gridCol w:w="1483"/>
              <w:gridCol w:w="2430"/>
              <w:gridCol w:w="20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8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1483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092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3038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1483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09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8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148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092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8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148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09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8" w:type="dxa"/>
                </w:tcPr>
                <w:p/>
              </w:tc>
              <w:tc>
                <w:tcPr>
                  <w:tcW w:w="1483" w:type="dxa"/>
                </w:tcPr>
                <w:p/>
              </w:tc>
              <w:tc>
                <w:tcPr>
                  <w:tcW w:w="2430" w:type="dxa"/>
                </w:tcPr>
                <w:p/>
              </w:tc>
              <w:tc>
                <w:tcPr>
                  <w:tcW w:w="2092" w:type="dxa"/>
                </w:tcPr>
                <w:p/>
              </w:tc>
            </w:tr>
          </w:tbl>
          <w:p/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85" w:type="dxa"/>
            <w:shd w:val="clear" w:color="auto" w:fill="auto"/>
          </w:tcPr>
          <w:p/>
        </w:tc>
        <w:tc>
          <w:tcPr>
            <w:tcW w:w="938" w:type="dxa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/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秦建峰先生 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7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11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3799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主要的风险描述</w:t>
                  </w:r>
                </w:p>
              </w:tc>
              <w:tc>
                <w:tcPr>
                  <w:tcW w:w="3799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配送不及时，客户投诉</w:t>
                  </w:r>
                </w:p>
              </w:tc>
              <w:tc>
                <w:tcPr>
                  <w:tcW w:w="3799" w:type="dxa"/>
                </w:tcPr>
                <w:p>
                  <w:pPr>
                    <w:pStyle w:val="9"/>
                    <w:numPr>
                      <w:ilvl w:val="0"/>
                      <w:numId w:val="1"/>
                    </w:numPr>
                    <w:ind w:left="-420" w:leftChars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合理安排配送路线，提前配货；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left="-420" w:leftChars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定期调查顾客满意度；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highlight w:val="yellow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供应商管理不到位，采购的产品不合格，导致顾客投诉</w:t>
                  </w:r>
                </w:p>
              </w:tc>
              <w:tc>
                <w:tcPr>
                  <w:tcW w:w="3799" w:type="dxa"/>
                </w:tcPr>
                <w:p>
                  <w:pPr>
                    <w:pStyle w:val="9"/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1）通过合格供方进行管理；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2）每年评价供方；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rPr>
                      <w:rFonts w:hint="default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3）必要时到供方现场评价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799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11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国家对食品安全的关注度挺高，今几年客户对体系管理要求度越来越高</w:t>
                  </w:r>
                </w:p>
              </w:tc>
              <w:tc>
                <w:tcPr>
                  <w:tcW w:w="3913" w:type="dxa"/>
                </w:tcPr>
                <w:p>
                  <w:pPr>
                    <w:numPr>
                      <w:ilvl w:val="0"/>
                      <w:numId w:val="2"/>
                    </w:numPr>
                    <w:ind w:left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通过建立体系，提高自身管理，提高食品安全意识；</w:t>
                  </w:r>
                </w:p>
                <w:p>
                  <w:pPr>
                    <w:pStyle w:val="8"/>
                    <w:numPr>
                      <w:ilvl w:val="0"/>
                      <w:numId w:val="0"/>
                    </w:num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2）关注客户需求，及时调整，满足客户要求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pStyle w:val="8"/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/>
              </w:tc>
              <w:tc>
                <w:tcPr>
                  <w:tcW w:w="1752" w:type="dxa"/>
                </w:tcPr>
                <w:p/>
              </w:tc>
            </w:tr>
          </w:tbl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FSMS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新冠疫情</w:t>
            </w:r>
            <w:r>
              <w:rPr>
                <w:rFonts w:hint="eastAsia"/>
                <w:u w:val="single"/>
              </w:rPr>
              <w:t xml:space="preserve">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85" w:type="dxa"/>
            <w:vMerge w:val="restart"/>
            <w:shd w:val="clear" w:color="auto" w:fill="auto"/>
          </w:tcPr>
          <w:p/>
        </w:tc>
        <w:tc>
          <w:tcPr>
            <w:tcW w:w="938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风险和机遇评估分析及措施表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7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85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38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7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《2022年度各部门目标指标完成情况检查表》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10"/>
              <w:tblW w:w="89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8"/>
              <w:gridCol w:w="1622"/>
              <w:gridCol w:w="1067"/>
              <w:gridCol w:w="1746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438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食品安全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622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067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746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11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2022.01-2022.07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43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szCs w:val="22"/>
                      <w:highlight w:val="none"/>
                    </w:rPr>
                    <w:t>食品安全卫生事故发生率为：0/月</w:t>
                  </w:r>
                </w:p>
              </w:tc>
              <w:tc>
                <w:tcPr>
                  <w:tcW w:w="1622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</w:rPr>
                    <w:t>月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74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各部门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43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客户满意度</w:t>
                  </w:r>
                  <w:r>
                    <w:rPr>
                      <w:rFonts w:hint="eastAsia"/>
                      <w:b w:val="0"/>
                      <w:bCs w:val="0"/>
                      <w:lang w:eastAsia="zh-CN"/>
                    </w:rPr>
                    <w:t>≥</w:t>
                  </w: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90</w:t>
                  </w:r>
                  <w:r>
                    <w:rPr>
                      <w:rFonts w:hint="eastAsia"/>
                      <w:b w:val="0"/>
                      <w:bCs w:val="0"/>
                    </w:rPr>
                    <w:t xml:space="preserve"> 分</w:t>
                  </w:r>
                </w:p>
              </w:tc>
              <w:tc>
                <w:tcPr>
                  <w:tcW w:w="1622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  <w:lang w:eastAsia="zh-CN"/>
                    </w:rPr>
                    <w:t>年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74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43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产品及时交付率 100%</w:t>
                  </w:r>
                </w:p>
              </w:tc>
              <w:tc>
                <w:tcPr>
                  <w:tcW w:w="1622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</w:rPr>
                    <w:t>月</w:t>
                  </w:r>
                </w:p>
              </w:tc>
              <w:tc>
                <w:tcPr>
                  <w:tcW w:w="106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74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无发生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43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Cs w:val="22"/>
                      <w:highlight w:val="none"/>
                    </w:rPr>
                    <w:t>CCP</w:t>
                  </w:r>
                  <w:r>
                    <w:rPr>
                      <w:rFonts w:hint="eastAsia" w:ascii="宋体" w:hAnsi="宋体"/>
                      <w:b w:val="0"/>
                      <w:bCs w:val="0"/>
                      <w:szCs w:val="22"/>
                      <w:highlight w:val="none"/>
                      <w:lang w:val="en-US" w:eastAsia="zh-CN"/>
                    </w:rPr>
                    <w:t>/OPRP</w:t>
                  </w:r>
                  <w:r>
                    <w:rPr>
                      <w:rFonts w:hint="eastAsia" w:ascii="宋体" w:hAnsi="宋体"/>
                      <w:b w:val="0"/>
                      <w:bCs w:val="0"/>
                      <w:szCs w:val="22"/>
                      <w:highlight w:val="none"/>
                    </w:rPr>
                    <w:t>点控制率100％</w:t>
                  </w:r>
                </w:p>
              </w:tc>
              <w:tc>
                <w:tcPr>
                  <w:tcW w:w="1622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highlight w:val="none"/>
                    </w:rPr>
                    <w:t>月</w:t>
                  </w:r>
                </w:p>
              </w:tc>
              <w:tc>
                <w:tcPr>
                  <w:tcW w:w="106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74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销售部</w:t>
                  </w:r>
                </w:p>
              </w:tc>
              <w:tc>
                <w:tcPr>
                  <w:tcW w:w="0" w:type="auto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</w:tr>
          </w:tbl>
          <w:p>
            <w:pPr>
              <w:pStyle w:val="9"/>
              <w:rPr>
                <w:rFonts w:ascii="宋体" w:hAnsi="宋体"/>
              </w:rPr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未明确计算方法，已与企业沟通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关键人员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□生产工艺/服务流程 </w:t>
            </w:r>
          </w:p>
          <w:p>
            <w:pPr>
              <w:spacing w:before="40" w:after="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无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822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销售区店铺</w:t>
            </w:r>
            <w:r>
              <w:rPr>
                <w:rFonts w:hint="eastAsia"/>
                <w:highlight w:val="none"/>
                <w:u w:val="single"/>
              </w:rPr>
              <w:t>面积：</w:t>
            </w:r>
            <w:r>
              <w:rPr>
                <w:u w:val="single"/>
              </w:rPr>
              <w:t>35</w:t>
            </w:r>
            <w:r>
              <w:rPr>
                <w:rFonts w:hint="eastAsia"/>
                <w:u w:val="single"/>
              </w:rPr>
              <w:t>平方米左右</w:t>
            </w:r>
            <w:r>
              <w:rPr>
                <w:rFonts w:hint="eastAsia"/>
                <w:highlight w:val="none"/>
                <w:u w:val="singl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常温库0个，小型冷库 1个</w:t>
            </w:r>
            <w:r>
              <w:rPr>
                <w:rFonts w:hint="eastAsia"/>
                <w:highlight w:val="none"/>
                <w:u w:val="single"/>
              </w:rPr>
              <w:t>；配送车辆：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u w:val="single"/>
              </w:rPr>
              <w:t xml:space="preserve"> 辆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含1辆冷藏车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/>
                <w:highlight w:val="none"/>
                <w:u w:val="singl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办公室/销售区1 个；检验室0个；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电子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台</w:t>
            </w:r>
            <w:r>
              <w:rPr>
                <w:rFonts w:hint="eastAsia"/>
                <w:szCs w:val="21"/>
                <w:u w:val="single"/>
              </w:rPr>
              <w:t>秤、配</w:t>
            </w:r>
            <w:r>
              <w:rPr>
                <w:szCs w:val="21"/>
                <w:u w:val="single"/>
              </w:rPr>
              <w:t>送</w:t>
            </w:r>
            <w:r>
              <w:rPr>
                <w:rFonts w:hint="eastAsia"/>
                <w:szCs w:val="21"/>
                <w:u w:val="single"/>
              </w:rPr>
              <w:t>车辆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、灭火器、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不涉及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9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8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pStyle w:val="9"/>
            </w:pPr>
          </w:p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</w:rPr>
              <w:t>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3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</w:rPr>
              <w:t>7.4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管理手册第7.4章、《沟通控制程序》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9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组织考虑了合规义务，确保质量信息与管理体系形成的信息一致且真实可信。一般</w:t>
            </w:r>
            <w:r>
              <w:rPr>
                <w:rFonts w:hint="eastAsia"/>
                <w:lang w:val="en-US" w:eastAsia="zh-CN"/>
              </w:rPr>
              <w:t>由食品安全小组组长</w:t>
            </w:r>
            <w:r>
              <w:rPr>
                <w:rFonts w:hint="eastAsia"/>
              </w:rPr>
              <w:t>负责。</w:t>
            </w:r>
          </w:p>
          <w:p>
            <w:r>
              <w:rPr>
                <w:rFonts w:hint="eastAsia"/>
              </w:rPr>
              <w:t xml:space="preserve">外部沟通的控制对象：☑市场监督管理局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消防大队 ☑顾客 ☑供方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外包方 □网站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内部沟通的控制方式：☑会议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>表单传递 ☑微信 ☑QQ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展板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标语</w:t>
            </w:r>
          </w:p>
          <w:p>
            <w:pPr>
              <w:pStyle w:val="13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经沟通了解企业内部报告的渠道：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口头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手机/电话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网络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书面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意见箱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09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预包装类每年从供方索取检测报告；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蔬菜、水产品、畜禽肉索取供方检测报告；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定期检查</w:t>
                  </w:r>
                </w:p>
                <w:p>
                  <w:pPr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每批</w:t>
                  </w:r>
                </w:p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  <w:highlight w:val="none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产品安全性标准、《危害控制计划》等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每年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每批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前提方案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》、《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作业文件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1"/>
                    </w:rPr>
                    <w:t>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pStyle w:val="8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内审管理程序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管理评审程序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内部</w:t>
            </w:r>
            <w:r>
              <w:rPr>
                <w:rFonts w:hint="default"/>
                <w:szCs w:val="20"/>
              </w:rPr>
              <w:t>审核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F9.2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</w:t>
            </w:r>
            <w:r>
              <w:rPr>
                <w:rFonts w:hint="default"/>
                <w:szCs w:val="20"/>
              </w:rPr>
              <w:t>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t>：</w:t>
            </w: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default"/>
                <w:szCs w:val="20"/>
              </w:rPr>
              <w:t>管理</w:t>
            </w:r>
            <w:r>
              <w:rPr>
                <w:rFonts w:hint="eastAsia"/>
                <w:szCs w:val="20"/>
              </w:rPr>
              <w:t>手</w:t>
            </w:r>
            <w:r>
              <w:rPr>
                <w:rFonts w:hint="default"/>
                <w:szCs w:val="20"/>
              </w:rPr>
              <w:t>册</w:t>
            </w:r>
            <w:r>
              <w:rPr>
                <w:rFonts w:hint="eastAsia"/>
                <w:szCs w:val="20"/>
              </w:rPr>
              <w:t>第9.2章、</w:t>
            </w: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eastAsia"/>
                <w:color w:val="000000"/>
                <w:szCs w:val="20"/>
              </w:rPr>
              <w:t>《内部审核程序》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8" w:hRule="atLeast"/>
        </w:trPr>
        <w:tc>
          <w:tcPr>
            <w:tcW w:w="2185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38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☑有内审员培训记录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/食品安全小组、销售部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00" w:lineRule="atLeast"/>
              <w:ind w:left="0" w:right="0" w:firstLine="330"/>
              <w:rPr>
                <w:rFonts w:hint="default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2022年6月16日 进行了内审培训，却未能提供相关培训记录</w:t>
            </w:r>
            <w:r>
              <w:rPr>
                <w:rFonts w:hint="eastAsia" w:ascii="宋体" w:hAnsi="宋体"/>
                <w:szCs w:val="20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>不符合ISO 22000:2018标准</w:t>
            </w:r>
            <w:r>
              <w:rPr>
                <w:rFonts w:hint="eastAsia" w:ascii="宋体" w:hAnsi="宋体"/>
                <w:color w:val="000000"/>
                <w:szCs w:val="24"/>
                <w:u w:val="single"/>
                <w:lang w:val="en-US" w:eastAsia="zh-CN"/>
              </w:rPr>
              <w:t>7.2 条款</w:t>
            </w:r>
            <w:r>
              <w:rPr>
                <w:rFonts w:hint="eastAsia" w:ascii="宋体" w:hAnsi="宋体"/>
                <w:color w:val="000000"/>
                <w:szCs w:val="24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szCs w:val="20"/>
              </w:rPr>
              <w:t xml:space="preserve">不符合项已关闭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不符合项部分关闭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 xml:space="preserve">体系运行有效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szCs w:val="20"/>
              </w:rPr>
              <w:t xml:space="preserve">体系运行基本有效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不符合项未发生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不符合项仍然存在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8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82"/>
              <w:gridCol w:w="1967"/>
              <w:gridCol w:w="22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未发生较大变化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审核结果（内部和外部）包括执法检查结果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与PRP、OPRP计划和HACCP计划有关的验证活动结果的分析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员工对标准学习不足，对标准规定的要求有时还不能熟练运用，由综合部负责与组织，2022年9月底前进行。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计划2022年9月底前完成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不符合</w:t>
            </w:r>
            <w:r>
              <w:rPr>
                <w:rFonts w:hint="default"/>
                <w:szCs w:val="20"/>
              </w:rPr>
              <w:t>和</w:t>
            </w:r>
            <w:r>
              <w:rPr>
                <w:rFonts w:hint="eastAsia"/>
                <w:szCs w:val="20"/>
              </w:rPr>
              <w:t>纠</w:t>
            </w:r>
            <w:r>
              <w:rPr>
                <w:rFonts w:hint="default"/>
                <w:szCs w:val="20"/>
              </w:rPr>
              <w:t>正措施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F1</w:t>
            </w:r>
            <w:r>
              <w:rPr>
                <w:rFonts w:hint="default"/>
                <w:szCs w:val="20"/>
              </w:rPr>
              <w:t>0</w:t>
            </w:r>
            <w:r>
              <w:rPr>
                <w:rFonts w:hint="eastAsia"/>
                <w:szCs w:val="20"/>
              </w:rPr>
              <w:t>.1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</w:t>
            </w:r>
            <w:r>
              <w:rPr>
                <w:rFonts w:hint="default"/>
                <w:szCs w:val="20"/>
              </w:rPr>
              <w:t>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default"/>
                <w:szCs w:val="20"/>
              </w:rPr>
              <w:t>管理</w:t>
            </w:r>
            <w:r>
              <w:rPr>
                <w:rFonts w:hint="eastAsia"/>
                <w:szCs w:val="20"/>
              </w:rPr>
              <w:t>手</w:t>
            </w:r>
            <w:r>
              <w:rPr>
                <w:rFonts w:hint="default"/>
                <w:szCs w:val="20"/>
              </w:rPr>
              <w:t>册</w:t>
            </w:r>
            <w:r>
              <w:rPr>
                <w:rFonts w:hint="eastAsia"/>
                <w:szCs w:val="20"/>
              </w:rPr>
              <w:t>第10.1章、</w:t>
            </w: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《不合格品控制程序》、</w:t>
            </w: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eastAsia"/>
                <w:color w:val="000000"/>
                <w:szCs w:val="20"/>
              </w:rPr>
              <w:t>《</w:t>
            </w:r>
            <w:r>
              <w:rPr>
                <w:rFonts w:hint="eastAsia" w:ascii="宋体" w:hAnsi="宋体"/>
                <w:szCs w:val="21"/>
              </w:rPr>
              <w:t>纠正与预防措施控制程序</w:t>
            </w:r>
            <w:r>
              <w:rPr>
                <w:rFonts w:hint="eastAsia"/>
                <w:color w:val="000000"/>
                <w:szCs w:val="20"/>
              </w:rPr>
              <w:t>》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不符合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61" w:hRule="atLeast"/>
        </w:trPr>
        <w:tc>
          <w:tcPr>
            <w:tcW w:w="2185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38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不符合的来源：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 相关方投诉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产品检查中出现的问题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工作运行中的问题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内审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抽查采取纠正措施相关记录名称：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rFonts w:hint="default"/>
                <w:szCs w:val="20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szCs w:val="20"/>
                <w:u w:val="single"/>
              </w:rPr>
              <w:t>《</w:t>
            </w:r>
            <w:r>
              <w:rPr>
                <w:rFonts w:hint="eastAsia"/>
                <w:color w:val="0000FF"/>
                <w:szCs w:val="20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20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color w:val="0000FF"/>
                <w:szCs w:val="20"/>
                <w:u w:val="single"/>
              </w:rPr>
              <w:t>》</w:t>
            </w:r>
            <w:r>
              <w:rPr>
                <w:rFonts w:hint="default"/>
                <w:color w:val="0000FF"/>
                <w:szCs w:val="20"/>
                <w:u w:val="single"/>
              </w:rPr>
              <w:t xml:space="preserve"> </w:t>
            </w:r>
            <w:r>
              <w:rPr>
                <w:rFonts w:hint="default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Cs w:val="20"/>
                <w:u w:val="single"/>
              </w:rPr>
              <w:t xml:space="preserve">  </w:t>
            </w:r>
            <w:r>
              <w:rPr>
                <w:rFonts w:hint="default"/>
                <w:szCs w:val="20"/>
                <w:u w:val="single"/>
              </w:rPr>
              <w:t xml:space="preserve"> 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</w:p>
          <w:tbl>
            <w:tblPr>
              <w:tblStyle w:val="10"/>
              <w:tblpPr w:leftFromText="180" w:rightFromText="180" w:vertAnchor="text" w:horzAnchor="margin" w:tblpY="180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033"/>
              <w:gridCol w:w="2552"/>
              <w:gridCol w:w="1559"/>
              <w:gridCol w:w="1134"/>
              <w:gridCol w:w="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</w:t>
                  </w:r>
                </w:p>
              </w:tc>
              <w:tc>
                <w:tcPr>
                  <w:tcW w:w="20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不符合描述</w:t>
                  </w: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不符合纠正</w:t>
                  </w:r>
                </w:p>
              </w:tc>
              <w:tc>
                <w:tcPr>
                  <w:tcW w:w="15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原因分析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纠正措施</w:t>
                  </w:r>
                </w:p>
              </w:tc>
              <w:tc>
                <w:tcPr>
                  <w:tcW w:w="9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2033" w:type="dxa"/>
                </w:tcPr>
                <w:p>
                  <w:pPr>
                    <w:keepNext w:val="0"/>
                    <w:keepLines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0" w:lineRule="atLeast"/>
                    <w:ind w:left="0" w:right="-27"/>
                    <w:jc w:val="left"/>
                    <w:textAlignment w:val="baseline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0" w:lineRule="atLeast"/>
                    <w:ind w:left="0" w:right="-27"/>
                    <w:jc w:val="left"/>
                    <w:textAlignment w:val="baseline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2033" w:type="dxa"/>
                </w:tcPr>
                <w:p>
                  <w:pPr>
                    <w:keepNext w:val="0"/>
                    <w:keepLines w:val="0"/>
                    <w:suppressLineNumbers w:val="0"/>
                    <w:autoSpaceDE w:val="0"/>
                    <w:autoSpaceDN w:val="0"/>
                    <w:spacing w:before="0" w:beforeAutospacing="0" w:after="0" w:afterAutospacing="0" w:line="500" w:lineRule="atLeast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0" w:lineRule="atLeast"/>
                    <w:ind w:left="720" w:right="-27"/>
                    <w:jc w:val="left"/>
                    <w:textAlignment w:val="baseline"/>
                    <w:rPr>
                      <w:rFonts w:hint="default"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cs="宋体"/>
                      <w:szCs w:val="21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721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9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计划2022年9月底前完成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食品安全管理体系的更新</w:t>
            </w:r>
          </w:p>
          <w:p/>
          <w:p/>
        </w:tc>
        <w:tc>
          <w:tcPr>
            <w:tcW w:w="93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管理手册10.3条款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85" w:type="dxa"/>
            <w:vMerge w:val="continue"/>
            <w:shd w:val="clear" w:color="auto" w:fill="auto"/>
          </w:tcPr>
          <w:p/>
        </w:tc>
        <w:tc>
          <w:tcPr>
            <w:tcW w:w="938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gridSpan w:val="2"/>
            <w:shd w:val="clear" w:color="auto" w:fill="auto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 xml:space="preserve">未发生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7" w:type="dxa"/>
            <w:gridSpan w:val="2"/>
            <w:vMerge w:val="continue"/>
            <w:shd w:val="clear" w:color="auto" w:fill="auto"/>
          </w:tcPr>
          <w:p/>
        </w:tc>
      </w:tr>
      <w:bookmarkEnd w:id="0"/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-41275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5437F"/>
    <w:multiLevelType w:val="singleLevel"/>
    <w:tmpl w:val="8075437F"/>
    <w:lvl w:ilvl="0" w:tentative="0">
      <w:start w:val="1"/>
      <w:numFmt w:val="decimal"/>
      <w:suff w:val="nothing"/>
      <w:lvlText w:val="%1）"/>
      <w:lvlJc w:val="left"/>
      <w:pPr>
        <w:ind w:left="-840"/>
      </w:pPr>
    </w:lvl>
  </w:abstractNum>
  <w:abstractNum w:abstractNumId="1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EE17838D"/>
    <w:multiLevelType w:val="singleLevel"/>
    <w:tmpl w:val="EE17838D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E753A"/>
    <w:rsid w:val="005203B8"/>
    <w:rsid w:val="00531A59"/>
    <w:rsid w:val="00536930"/>
    <w:rsid w:val="00542263"/>
    <w:rsid w:val="00564E53"/>
    <w:rsid w:val="00571451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90032F"/>
    <w:rsid w:val="00910EB7"/>
    <w:rsid w:val="00920906"/>
    <w:rsid w:val="00923731"/>
    <w:rsid w:val="009315A7"/>
    <w:rsid w:val="009344FA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A616A9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8836B6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576AE5"/>
    <w:rsid w:val="347A0336"/>
    <w:rsid w:val="34F92D63"/>
    <w:rsid w:val="35527F1F"/>
    <w:rsid w:val="357914C0"/>
    <w:rsid w:val="35977CF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44790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756700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BF623F4"/>
    <w:rsid w:val="6C3014BE"/>
    <w:rsid w:val="6C5D414F"/>
    <w:rsid w:val="6C761A36"/>
    <w:rsid w:val="6C9B65FD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1B33A0"/>
    <w:rsid w:val="70607590"/>
    <w:rsid w:val="70795456"/>
    <w:rsid w:val="709946EC"/>
    <w:rsid w:val="70B04FD5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outlineLvl w:val="3"/>
    </w:pPr>
    <w:rPr>
      <w:rFonts w:ascii="Arial" w:hAnsi="Arial" w:eastAsia="宋体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6967</Words>
  <Characters>7417</Characters>
  <Lines>74</Lines>
  <Paragraphs>21</Paragraphs>
  <TotalTime>1</TotalTime>
  <ScaleCrop>false</ScaleCrop>
  <LinksUpToDate>false</LinksUpToDate>
  <CharactersWithSpaces>8462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2022-08-03T01:18:26Z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49BECC4BCA164B81BE870CF712344446</vt:lpwstr>
  </property>
</Properties>
</file>