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0931-2022-F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湖北宜达鲜农副产品有限公司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2022年08月01日 下午</w:t>
            </w:r>
            <w:r>
              <w:rPr>
                <w:rFonts w:hint="eastAsia" w:ascii="宋体"/>
                <w:b/>
                <w:color w:val="000000"/>
                <w:szCs w:val="21"/>
                <w:lang w:val="en-US" w:eastAsia="zh-CN"/>
              </w:rPr>
              <w:t>13:00</w:t>
            </w:r>
            <w:r>
              <w:rPr>
                <w:rFonts w:hint="eastAsia" w:ascii="宋体"/>
                <w:b/>
                <w:color w:val="000000"/>
                <w:szCs w:val="21"/>
              </w:rPr>
              <w:t>至2022年08月01日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2020-N1FSMS-3059498</w:t>
            </w:r>
          </w:p>
        </w:tc>
        <w:tc>
          <w:tcPr>
            <w:tcW w:w="1140" w:type="dxa"/>
            <w:vAlign w:val="center"/>
          </w:tcPr>
          <w:p>
            <w:pPr>
              <w:spacing w:line="240" w:lineRule="exact"/>
              <w:jc w:val="center"/>
              <w:rPr>
                <w:b/>
                <w:color w:val="000000"/>
                <w:szCs w:val="21"/>
              </w:rPr>
            </w:pPr>
            <w:r>
              <w:rPr>
                <w:b/>
                <w:color w:val="000000"/>
                <w:szCs w:val="21"/>
              </w:rPr>
              <w:t>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湖北宜达鲜农副产品有限公司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洪山区青菱乡张家湾特一号海鲜大市场鲜肉1区19号商铺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430072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洪山区青菱乡张家湾特一号海鲜大市场鲜肉1区19号商铺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430072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施玉林</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15927554531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施玉林</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秦建峰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505567813@qq.com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sz w:val="20"/>
              </w:rPr>
              <w:t>预包装食品（含冷冻畜禽肉）销售、农副产品（蔬菜、鲜肉、水产品）销售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sz w:val="20"/>
              </w:rPr>
              <w:t>预包装食品（含冷冻畜禽肉）销售、农副产品（蔬菜、鲜肉、水产品）销售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val="0"/>
                <w:bCs w:val="0"/>
                <w:color w:val="000000"/>
                <w:highlight w:val="none"/>
                <w:lang w:val="en-US" w:eastAsia="zh-CN"/>
              </w:rPr>
              <w:t>原辅料采购→验收/分拣→冷冻冷藏（适用时）→称量→检验→装车→运输/配送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rPr>
                <w:rFonts w:ascii="宋体" w:hAnsi="宋体"/>
                <w:b/>
                <w:color w:val="000000"/>
                <w:szCs w:val="21"/>
              </w:rPr>
            </w:pPr>
            <w:r>
              <w:rPr>
                <w:rFonts w:hint="eastAsia" w:ascii="宋体" w:hAnsi="宋体" w:cs="宋体"/>
                <w:color w:val="000000"/>
                <w:kern w:val="0"/>
                <w:szCs w:val="21"/>
              </w:rPr>
              <w:t>位于湖北省武汉市洪山区青菱乡张家湾特一号海鲜大市场鲜肉1区19号商铺湖北宜达鲜农副产品有限公司的预包装食品销售（含冷藏冷冻食品）</w:t>
            </w:r>
          </w:p>
        </w:tc>
        <w:tc>
          <w:tcPr>
            <w:tcW w:w="2006" w:type="dxa"/>
            <w:gridSpan w:val="3"/>
            <w:vAlign w:val="center"/>
          </w:tcPr>
          <w:p>
            <w:pPr>
              <w:spacing w:line="400" w:lineRule="exact"/>
              <w:rPr>
                <w:rFonts w:ascii="宋体" w:hAnsi="宋体"/>
                <w:b/>
                <w:color w:val="000000"/>
                <w:szCs w:val="21"/>
              </w:rPr>
            </w:pPr>
            <w:bookmarkStart w:id="36" w:name="专业代码"/>
            <w:r>
              <w:rPr>
                <w:sz w:val="20"/>
              </w:rPr>
              <w:t>FI-2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eastAsia="zh-CN"/>
              </w:rPr>
              <w:t>——</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湖北宜达鲜农副产品有限公司</w:t>
            </w:r>
          </w:p>
          <w:p>
            <w:pPr>
              <w:pStyle w:val="25"/>
              <w:rPr>
                <w:lang w:val="de-DE" w:eastAsia="ja-JP"/>
              </w:rPr>
            </w:pPr>
            <w:r>
              <w:rPr>
                <w:rFonts w:asciiTheme="minorEastAsia" w:hAnsiTheme="minorEastAsia" w:eastAsiaTheme="minorEastAsia"/>
                <w:sz w:val="20"/>
              </w:rPr>
              <w:t>洪山区青菱乡张家湾特一号海鲜大市场鲜肉1区19号商铺</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洪山区青菱乡张家湾特一号海鲜大市场鲜肉1区19号商铺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8人</w:t>
            </w:r>
          </w:p>
        </w:tc>
        <w:tc>
          <w:tcPr>
            <w:tcW w:w="2803" w:type="dxa"/>
            <w:vAlign w:val="center"/>
          </w:tcPr>
          <w:p>
            <w:pPr>
              <w:pStyle w:val="20"/>
              <w:rPr>
                <w:rFonts w:eastAsia="黑体" w:cs="Arial"/>
                <w:sz w:val="21"/>
                <w:szCs w:val="21"/>
                <w:lang w:val="en-US" w:eastAsia="ja-JP"/>
              </w:rPr>
            </w:pPr>
            <w:r>
              <w:rPr>
                <w:rFonts w:hint="eastAsia"/>
                <w:sz w:val="20"/>
              </w:rPr>
              <w:t>位于洪山区青菱乡张家湾特一号海鲜大市场鲜肉1区19号商铺湖北宜达鲜农副产品有限公司销售区的预包装食品（含冷冻畜禽肉）销售、农副产品（蔬菜、鲜肉、水产品）销售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default" w:ascii="宋体" w:eastAsia="宋体"/>
                <w:color w:val="000000"/>
                <w:spacing w:val="-10"/>
                <w:szCs w:val="21"/>
                <w:lang w:val="en-US"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zCs w:val="21"/>
                <w:lang w:eastAsia="zh-CN"/>
              </w:rPr>
              <w:t>，</w:t>
            </w:r>
            <w:r>
              <w:rPr>
                <w:rFonts w:hint="eastAsia" w:ascii="宋体" w:hAnsi="宋体"/>
                <w:color w:val="auto"/>
                <w:szCs w:val="21"/>
                <w:lang w:val="en-US" w:eastAsia="zh-CN"/>
              </w:rPr>
              <w:t>但不充分，见问题清单</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OPRP1蔬菜类</w:t>
            </w:r>
            <w:r>
              <w:rPr>
                <w:rFonts w:hint="eastAsia" w:ascii="Times New Roman" w:hAnsi="Times New Roman" w:cs="Times New Roman"/>
                <w:highlight w:val="none"/>
                <w:lang w:val="en-US" w:eastAsia="zh-CN"/>
              </w:rPr>
              <w:t>验收</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OPRP1肉类采购</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OPRP1水产品类</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OPRP1粮油副食类</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OPRP2冷冻畜禽肉贮存</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6"/>
              <w:spacing w:line="360" w:lineRule="auto"/>
              <w:rPr>
                <w:rFonts w:hint="eastAsia" w:ascii="宋体" w:hAnsi="宋体" w:cs="宋体"/>
                <w:color w:val="auto"/>
                <w:kern w:val="0"/>
                <w:szCs w:val="24"/>
                <w:lang w:val="en-US" w:eastAsia="zh-CN" w:bidi="ar"/>
              </w:rPr>
            </w:pPr>
            <w:r>
              <w:rPr>
                <w:rFonts w:hint="default" w:ascii="Times New Roman" w:hAnsi="Times New Roman" w:eastAsia="宋体" w:cs="Times New Roman"/>
                <w:highlight w:val="none"/>
                <w:lang w:val="en-US" w:eastAsia="zh-CN"/>
              </w:rPr>
              <w:t>OPRP1</w:t>
            </w:r>
            <w:r>
              <w:rPr>
                <w:rFonts w:hint="default" w:ascii="Times New Roman" w:hAnsi="Times New Roman" w:cs="Times New Roman"/>
                <w:highlight w:val="none"/>
                <w:lang w:val="en-US" w:eastAsia="zh-CN"/>
              </w:rPr>
              <w:t>蔬菜类</w:t>
            </w:r>
            <w:r>
              <w:rPr>
                <w:rFonts w:hint="eastAsia" w:ascii="Times New Roman" w:hAnsi="Times New Roman" w:cs="Times New Roman"/>
                <w:highlight w:val="none"/>
                <w:lang w:val="en-US" w:eastAsia="zh-CN"/>
              </w:rPr>
              <w:t>验收</w:t>
            </w:r>
            <w:r>
              <w:rPr>
                <w:rFonts w:hint="eastAsia" w:ascii="Times New Roman" w:hAnsi="Times New Roman" w:eastAsia="宋体" w:cs="Times New Roman"/>
                <w:highlight w:val="none"/>
                <w:lang w:val="en-US" w:eastAsia="zh-CN"/>
              </w:rPr>
              <w:t>的行动准则：</w:t>
            </w:r>
            <w:r>
              <w:rPr>
                <w:rFonts w:hint="eastAsia" w:ascii="宋体" w:hAnsi="宋体" w:cs="宋体"/>
                <w:color w:val="auto"/>
                <w:kern w:val="0"/>
                <w:szCs w:val="24"/>
                <w:lang w:val="en-US" w:eastAsia="zh-CN" w:bidi="ar"/>
              </w:rPr>
              <w:t>农产品检验报告单；</w:t>
            </w:r>
          </w:p>
          <w:p>
            <w:pPr>
              <w:pStyle w:val="6"/>
              <w:spacing w:line="360" w:lineRule="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OPRP</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肉类采购</w:t>
            </w:r>
            <w:r>
              <w:rPr>
                <w:rFonts w:hint="eastAsia" w:ascii="Times New Roman" w:hAnsi="Times New Roman" w:cs="Times New Roman"/>
                <w:highlight w:val="none"/>
                <w:lang w:val="en-US" w:eastAsia="zh-CN"/>
              </w:rPr>
              <w:t>的行动准则：批检验/检疫合格证明/第三方检验报告；</w:t>
            </w:r>
          </w:p>
          <w:p>
            <w:pPr>
              <w:pStyle w:val="6"/>
              <w:spacing w:line="360" w:lineRule="auto"/>
              <w:rPr>
                <w:rFonts w:hint="eastAsia" w:ascii="宋体" w:hAnsi="宋体" w:cs="宋体"/>
                <w:color w:val="auto"/>
                <w:kern w:val="0"/>
                <w:szCs w:val="24"/>
                <w:lang w:val="en-US" w:eastAsia="zh-CN" w:bidi="ar"/>
              </w:rPr>
            </w:pPr>
            <w:r>
              <w:rPr>
                <w:rFonts w:hint="default" w:ascii="Times New Roman" w:hAnsi="Times New Roman" w:eastAsia="宋体" w:cs="Times New Roman"/>
                <w:highlight w:val="none"/>
                <w:lang w:val="en-US" w:eastAsia="zh-CN"/>
              </w:rPr>
              <w:t>OPRP1</w:t>
            </w:r>
            <w:r>
              <w:rPr>
                <w:rFonts w:hint="default" w:ascii="Times New Roman" w:hAnsi="Times New Roman" w:cs="Times New Roman"/>
                <w:highlight w:val="none"/>
                <w:lang w:val="en-US" w:eastAsia="zh-CN"/>
              </w:rPr>
              <w:t>水产品类</w:t>
            </w:r>
            <w:r>
              <w:rPr>
                <w:rFonts w:hint="eastAsia" w:ascii="Times New Roman" w:hAnsi="Times New Roman" w:eastAsia="宋体" w:cs="Times New Roman"/>
                <w:highlight w:val="none"/>
                <w:lang w:val="en-US" w:eastAsia="zh-CN"/>
              </w:rPr>
              <w:t>的行动准则：</w:t>
            </w:r>
            <w:r>
              <w:rPr>
                <w:rFonts w:hint="eastAsia" w:ascii="宋体" w:hAnsi="宋体" w:cs="宋体"/>
                <w:color w:val="auto"/>
                <w:kern w:val="0"/>
                <w:szCs w:val="24"/>
                <w:lang w:val="en-US" w:eastAsia="zh-CN" w:bidi="ar"/>
              </w:rPr>
              <w:t>农产品检验报告单；</w:t>
            </w:r>
          </w:p>
          <w:p>
            <w:pPr>
              <w:pStyle w:val="6"/>
              <w:spacing w:line="360" w:lineRule="auto"/>
              <w:rPr>
                <w:rFonts w:hint="eastAsia"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OPRP1粮油副食类</w:t>
            </w:r>
            <w:r>
              <w:rPr>
                <w:rFonts w:hint="eastAsia" w:ascii="Times New Roman" w:hAnsi="Times New Roman" w:eastAsia="宋体" w:cs="Times New Roman"/>
                <w:highlight w:val="none"/>
                <w:lang w:val="en-US" w:eastAsia="zh-CN"/>
              </w:rPr>
              <w:t>的行动准则：产品质量检验报告/第三方检验报告；</w:t>
            </w:r>
          </w:p>
          <w:p>
            <w:pPr>
              <w:pStyle w:val="6"/>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OPRP2冷冻畜禽肉贮存</w:t>
            </w:r>
            <w:r>
              <w:rPr>
                <w:rFonts w:hint="eastAsia" w:ascii="Times New Roman" w:hAnsi="Times New Roman" w:cs="Times New Roman"/>
                <w:highlight w:val="none"/>
                <w:lang w:val="en-US" w:eastAsia="zh-CN"/>
              </w:rPr>
              <w:t>的行动准则：控制冷冻产品冷库温度在≤-18℃</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sym w:font="Wingdings 2" w:char="00A3"/>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2022-08-0</w:t>
            </w:r>
            <w:bookmarkEnd w:id="37"/>
            <w:r>
              <w:rPr>
                <w:rFonts w:hint="eastAsia" w:ascii="宋体"/>
                <w:b/>
                <w:color w:val="000000"/>
                <w:szCs w:val="21"/>
                <w:lang w:val="en-US" w:eastAsia="zh-CN"/>
              </w:rPr>
              <w:t>2日下午</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 w:val="20"/>
              </w:rPr>
              <w:t>位于洪山区青菱乡张家湾特一号海鲜大市场鲜肉1区19号商铺湖北宜达鲜农副产品有限公司销售区的预包装食品（含冷冻畜禽肉）销售、农副产品（蔬菜、鲜肉、水产品）销售</w:t>
            </w:r>
          </w:p>
        </w:tc>
        <w:tc>
          <w:tcPr>
            <w:tcW w:w="1541" w:type="dxa"/>
            <w:vAlign w:val="center"/>
          </w:tcPr>
          <w:p>
            <w:pPr>
              <w:spacing w:line="400" w:lineRule="exact"/>
              <w:rPr>
                <w:rFonts w:ascii="宋体" w:hAnsi="宋体"/>
                <w:b/>
                <w:color w:val="000000"/>
                <w:szCs w:val="21"/>
              </w:rPr>
            </w:pPr>
            <w:r>
              <w:rPr>
                <w:sz w:val="20"/>
              </w:rP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2183130</wp:posOffset>
            </wp:positionH>
            <wp:positionV relativeFrom="paragraph">
              <wp:posOffset>117475</wp:posOffset>
            </wp:positionV>
            <wp:extent cx="768350" cy="446405"/>
            <wp:effectExtent l="0" t="0" r="6350" b="10795"/>
            <wp:wrapTight wrapText="bothSides">
              <wp:wrapPolygon>
                <wp:start x="0" y="0"/>
                <wp:lineTo x="0" y="20893"/>
                <wp:lineTo x="21421" y="20893"/>
                <wp:lineTo x="21421" y="0"/>
                <wp:lineTo x="0" y="0"/>
              </wp:wrapPolygon>
            </wp:wrapTight>
            <wp:docPr id="2" name="图片 2"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823099(1)"/>
                    <pic:cNvPicPr>
                      <a:picLocks noChangeAspect="1"/>
                    </pic:cNvPicPr>
                  </pic:nvPicPr>
                  <pic:blipFill>
                    <a:blip r:embed="rId6"/>
                    <a:stretch>
                      <a:fillRect/>
                    </a:stretch>
                  </pic:blipFill>
                  <pic:spPr>
                    <a:xfrm>
                      <a:off x="0" y="0"/>
                      <a:ext cx="768350" cy="4464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2336" behindDoc="1" locked="0" layoutInCell="1" allowOverlap="1">
            <wp:simplePos x="0" y="0"/>
            <wp:positionH relativeFrom="column">
              <wp:posOffset>4398645</wp:posOffset>
            </wp:positionH>
            <wp:positionV relativeFrom="paragraph">
              <wp:posOffset>-88900</wp:posOffset>
            </wp:positionV>
            <wp:extent cx="628650" cy="285750"/>
            <wp:effectExtent l="0" t="0" r="6350" b="6350"/>
            <wp:wrapTight wrapText="bothSides">
              <wp:wrapPolygon>
                <wp:start x="0" y="0"/>
                <wp:lineTo x="0" y="21120"/>
                <wp:lineTo x="21382" y="21120"/>
                <wp:lineTo x="21382"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7"/>
                    <a:stretch>
                      <a:fillRect/>
                    </a:stretch>
                  </pic:blipFill>
                  <pic:spPr>
                    <a:xfrm>
                      <a:off x="0" y="0"/>
                      <a:ext cx="628650" cy="285750"/>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2022-08-01日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hint="default" w:eastAsia="隶书"/>
          <w:color w:val="000000"/>
          <w:sz w:val="28"/>
          <w:szCs w:val="28"/>
          <w:highlight w:val="yellow"/>
          <w:lang w:val="en-US" w:eastAsia="zh-CN"/>
        </w:rPr>
      </w:pPr>
      <w:bookmarkStart w:id="38" w:name="_GoBack"/>
      <w:r>
        <w:rPr>
          <w:rFonts w:hint="eastAsia" w:eastAsia="隶书"/>
          <w:color w:val="000000"/>
          <w:sz w:val="28"/>
          <w:szCs w:val="28"/>
          <w:highlight w:val="yellow"/>
        </w:rPr>
        <w:t>一阶段现场审核问题清单</w:t>
      </w:r>
      <w:r>
        <w:rPr>
          <w:rFonts w:hint="eastAsia" w:eastAsia="隶书"/>
          <w:color w:val="000000"/>
          <w:sz w:val="28"/>
          <w:szCs w:val="28"/>
          <w:highlight w:val="yellow"/>
          <w:lang w:eastAsia="zh-CN"/>
        </w:rPr>
        <w:t>——</w:t>
      </w:r>
      <w:r>
        <w:rPr>
          <w:rFonts w:hint="eastAsia" w:eastAsia="隶书"/>
          <w:color w:val="000000"/>
          <w:sz w:val="28"/>
          <w:szCs w:val="28"/>
          <w:highlight w:val="yellow"/>
          <w:lang w:val="en-US" w:eastAsia="zh-CN"/>
        </w:rPr>
        <w:t>见扫描件</w:t>
      </w:r>
    </w:p>
    <w:bookmarkEnd w:id="38"/>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受审核方：湖北宜达鲜农副产品有限公司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032"/>
        <w:gridCol w:w="2063"/>
        <w:gridCol w:w="126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Align w:val="center"/>
          </w:tcPr>
          <w:p>
            <w:pPr>
              <w:snapToGrid w:val="0"/>
              <w:spacing w:line="280" w:lineRule="exact"/>
              <w:jc w:val="center"/>
              <w:rPr>
                <w:b/>
                <w:bCs/>
                <w:color w:val="000000"/>
                <w:szCs w:val="21"/>
              </w:rPr>
            </w:pPr>
            <w:r>
              <w:rPr>
                <w:rFonts w:hint="eastAsia"/>
                <w:b/>
                <w:bCs/>
                <w:color w:val="000000"/>
                <w:szCs w:val="21"/>
              </w:rPr>
              <w:t>序号</w:t>
            </w:r>
          </w:p>
        </w:tc>
        <w:tc>
          <w:tcPr>
            <w:tcW w:w="609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26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4" w:type="dxa"/>
            <w:shd w:val="clear" w:color="auto" w:fill="FFFFFF" w:themeFill="background1"/>
            <w:vAlign w:val="center"/>
          </w:tcPr>
          <w:p>
            <w:pPr>
              <w:pStyle w:val="7"/>
              <w:pBdr>
                <w:bottom w:val="none" w:color="auto" w:sz="0" w:space="0"/>
              </w:pBdr>
              <w:ind w:right="600"/>
              <w:jc w:val="both"/>
              <w:rPr>
                <w:rFonts w:ascii="宋体"/>
                <w:color w:val="000000"/>
                <w:sz w:val="21"/>
                <w:szCs w:val="21"/>
              </w:rPr>
            </w:pPr>
            <w:r>
              <w:rPr>
                <w:rFonts w:hint="eastAsia" w:ascii="宋体"/>
                <w:color w:val="000000"/>
                <w:sz w:val="21"/>
                <w:szCs w:val="21"/>
              </w:rPr>
              <w:t>1</w:t>
            </w:r>
          </w:p>
        </w:tc>
        <w:tc>
          <w:tcPr>
            <w:tcW w:w="6095" w:type="dxa"/>
            <w:gridSpan w:val="2"/>
            <w:shd w:val="clear" w:color="auto" w:fill="FFFFFF" w:themeFill="background1"/>
            <w:vAlign w:val="center"/>
          </w:tcPr>
          <w:p>
            <w:pPr>
              <w:pStyle w:val="7"/>
              <w:pBdr>
                <w:bottom w:val="none" w:color="auto" w:sz="0" w:space="0"/>
              </w:pBdr>
              <w:tabs>
                <w:tab w:val="center" w:pos="5737"/>
                <w:tab w:val="clear" w:pos="4153"/>
              </w:tabs>
              <w:jc w:val="both"/>
              <w:rPr>
                <w:color w:val="000000"/>
                <w:sz w:val="21"/>
                <w:szCs w:val="21"/>
                <w:highlight w:val="none"/>
              </w:rPr>
            </w:pPr>
            <w:r>
              <w:rPr>
                <w:rFonts w:hint="eastAsia"/>
                <w:color w:val="000000"/>
                <w:sz w:val="21"/>
                <w:szCs w:val="21"/>
                <w:highlight w:val="none"/>
              </w:rPr>
              <w:t>危害控制计划中：</w:t>
            </w:r>
          </w:p>
          <w:p>
            <w:pPr>
              <w:pStyle w:val="7"/>
              <w:pBdr>
                <w:bottom w:val="none" w:color="auto" w:sz="0" w:space="0"/>
              </w:pBdr>
              <w:tabs>
                <w:tab w:val="center" w:pos="5737"/>
                <w:tab w:val="clear" w:pos="4153"/>
              </w:tabs>
              <w:jc w:val="both"/>
              <w:rPr>
                <w:color w:val="000000"/>
                <w:sz w:val="21"/>
                <w:szCs w:val="21"/>
              </w:rPr>
            </w:pPr>
            <w:r>
              <w:rPr>
                <w:color w:val="000000"/>
                <w:sz w:val="21"/>
                <w:szCs w:val="21"/>
              </w:rPr>
              <w:t>1</w:t>
            </w:r>
            <w:r>
              <w:rPr>
                <w:rFonts w:hint="eastAsia"/>
                <w:color w:val="000000"/>
                <w:sz w:val="21"/>
                <w:szCs w:val="21"/>
              </w:rPr>
              <w:t>）部分与产品接触的材料未进行描述，如塑料框、消毒剂（8</w:t>
            </w:r>
            <w:r>
              <w:rPr>
                <w:color w:val="000000"/>
                <w:sz w:val="21"/>
                <w:szCs w:val="21"/>
              </w:rPr>
              <w:t>4</w:t>
            </w:r>
            <w:r>
              <w:rPr>
                <w:rFonts w:hint="eastAsia"/>
                <w:color w:val="000000"/>
                <w:sz w:val="21"/>
                <w:szCs w:val="21"/>
              </w:rPr>
              <w:t>消毒液）、清洗剂（洗洁精）等。</w:t>
            </w:r>
          </w:p>
          <w:p>
            <w:pPr>
              <w:pStyle w:val="7"/>
              <w:pBdr>
                <w:bottom w:val="none" w:color="auto" w:sz="0" w:space="0"/>
              </w:pBdr>
              <w:tabs>
                <w:tab w:val="center" w:pos="5737"/>
                <w:tab w:val="clear" w:pos="4153"/>
              </w:tabs>
              <w:jc w:val="both"/>
              <w:rPr>
                <w:color w:val="000000"/>
                <w:sz w:val="21"/>
                <w:szCs w:val="21"/>
              </w:rPr>
            </w:pPr>
            <w:r>
              <w:rPr>
                <w:color w:val="000000"/>
                <w:sz w:val="21"/>
                <w:szCs w:val="21"/>
              </w:rPr>
              <w:t>2</w:t>
            </w:r>
            <w:r>
              <w:rPr>
                <w:rFonts w:hint="eastAsia"/>
                <w:color w:val="000000"/>
                <w:sz w:val="21"/>
                <w:szCs w:val="21"/>
              </w:rPr>
              <w:t>）产品工艺流程及工艺描述中未体现预包装、冷冻畜禽肉贮存、水产品暂养（适用时）等；</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3）危害分析中未识别不同预包装产品，包括冷冻畜禽肉；农副产品（蔬菜、水产品）的食品安全危害风险；</w:t>
            </w:r>
          </w:p>
          <w:p>
            <w:pPr>
              <w:pStyle w:val="7"/>
              <w:pBdr>
                <w:bottom w:val="none" w:color="auto" w:sz="0" w:space="0"/>
              </w:pBdr>
              <w:tabs>
                <w:tab w:val="center" w:pos="5737"/>
                <w:tab w:val="clear" w:pos="4153"/>
              </w:tabs>
              <w:jc w:val="both"/>
              <w:rPr>
                <w:color w:val="000000"/>
                <w:sz w:val="21"/>
                <w:szCs w:val="21"/>
              </w:rPr>
            </w:pPr>
          </w:p>
        </w:tc>
        <w:tc>
          <w:tcPr>
            <w:tcW w:w="1262" w:type="dxa"/>
            <w:shd w:val="clear" w:color="auto" w:fill="FFFFFF" w:themeFill="background1"/>
            <w:vAlign w:val="center"/>
          </w:tcPr>
          <w:p>
            <w:pPr>
              <w:pStyle w:val="7"/>
              <w:pBdr>
                <w:bottom w:val="none" w:color="auto" w:sz="0" w:space="0"/>
              </w:pBdr>
              <w:jc w:val="both"/>
              <w:rPr>
                <w:color w:val="000000"/>
                <w:sz w:val="21"/>
                <w:szCs w:val="21"/>
              </w:rPr>
            </w:pPr>
            <w:r>
              <w:rPr>
                <w:rFonts w:hint="eastAsia"/>
                <w:color w:val="000000"/>
                <w:sz w:val="21"/>
                <w:szCs w:val="21"/>
              </w:rPr>
              <w:t>I</w:t>
            </w:r>
            <w:r>
              <w:rPr>
                <w:color w:val="000000"/>
                <w:sz w:val="21"/>
                <w:szCs w:val="21"/>
              </w:rPr>
              <w:t>SO22000</w:t>
            </w:r>
          </w:p>
        </w:tc>
        <w:tc>
          <w:tcPr>
            <w:tcW w:w="1133" w:type="dxa"/>
            <w:shd w:val="clear" w:color="auto" w:fill="FFFFFF" w:themeFill="background1"/>
            <w:vAlign w:val="center"/>
          </w:tcPr>
          <w:p>
            <w:pPr>
              <w:pStyle w:val="7"/>
              <w:pBdr>
                <w:bottom w:val="none" w:color="auto" w:sz="0" w:space="0"/>
              </w:pBdr>
              <w:ind w:right="600"/>
              <w:jc w:val="both"/>
              <w:rPr>
                <w:color w:val="000000"/>
                <w:sz w:val="21"/>
                <w:szCs w:val="21"/>
              </w:rPr>
            </w:pPr>
            <w:r>
              <w:rPr>
                <w:rFonts w:hint="eastAsia"/>
                <w:color w:val="000000"/>
                <w:sz w:val="21"/>
                <w:szCs w:val="21"/>
              </w:rPr>
              <w:t>8</w:t>
            </w:r>
            <w:r>
              <w:rPr>
                <w:color w:val="000000"/>
                <w:sz w:val="21"/>
                <w:szCs w:val="21"/>
              </w:rPr>
              <w:t>.5</w:t>
            </w:r>
          </w:p>
        </w:tc>
        <w:tc>
          <w:tcPr>
            <w:tcW w:w="934" w:type="dxa"/>
            <w:shd w:val="clear" w:color="auto" w:fill="FFFFFF" w:themeFill="background1"/>
            <w:vAlign w:val="center"/>
          </w:tcPr>
          <w:p>
            <w:pPr>
              <w:pStyle w:val="7"/>
              <w:pBdr>
                <w:bottom w:val="none" w:color="auto" w:sz="0" w:space="0"/>
              </w:pBdr>
              <w:ind w:right="600"/>
              <w:jc w:val="both"/>
              <w:rPr>
                <w:color w:val="000000"/>
                <w:sz w:val="21"/>
                <w:szCs w:val="21"/>
              </w:rPr>
            </w:pPr>
            <w:r>
              <w:rPr>
                <w:rFonts w:hint="eastAsia"/>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4" w:type="dxa"/>
            <w:vAlign w:val="center"/>
          </w:tcPr>
          <w:p>
            <w:pPr>
              <w:pStyle w:val="7"/>
              <w:pBdr>
                <w:bottom w:val="none" w:color="auto" w:sz="0" w:space="0"/>
              </w:pBdr>
              <w:ind w:right="600"/>
              <w:jc w:val="both"/>
              <w:rPr>
                <w:rFonts w:ascii="宋体"/>
                <w:color w:val="000000"/>
                <w:sz w:val="21"/>
                <w:szCs w:val="21"/>
              </w:rPr>
            </w:pPr>
            <w:r>
              <w:rPr>
                <w:rFonts w:hint="eastAsia" w:ascii="宋体"/>
                <w:color w:val="000000"/>
                <w:sz w:val="21"/>
                <w:szCs w:val="21"/>
              </w:rPr>
              <w:t>2</w:t>
            </w:r>
          </w:p>
        </w:tc>
        <w:tc>
          <w:tcPr>
            <w:tcW w:w="6095"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销售现场：</w:t>
            </w:r>
          </w:p>
          <w:p>
            <w:pPr>
              <w:pStyle w:val="7"/>
              <w:numPr>
                <w:ilvl w:val="0"/>
                <w:numId w:val="0"/>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highlight w:val="none"/>
              </w:rPr>
              <w:t>现场未见虫鼠害防治措施。</w:t>
            </w:r>
          </w:p>
        </w:tc>
        <w:tc>
          <w:tcPr>
            <w:tcW w:w="1262" w:type="dxa"/>
            <w:vAlign w:val="center"/>
          </w:tcPr>
          <w:p>
            <w:pPr>
              <w:pStyle w:val="7"/>
              <w:pBdr>
                <w:bottom w:val="none" w:color="auto" w:sz="0" w:space="0"/>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pPr>
              <w:pStyle w:val="7"/>
              <w:pBdr>
                <w:bottom w:val="none" w:color="auto" w:sz="0" w:space="0"/>
              </w:pBdr>
              <w:ind w:right="600"/>
              <w:jc w:val="both"/>
              <w:rPr>
                <w:color w:val="000000"/>
                <w:sz w:val="21"/>
                <w:szCs w:val="21"/>
              </w:rPr>
            </w:pPr>
            <w:r>
              <w:rPr>
                <w:rFonts w:hint="eastAsia"/>
                <w:color w:val="000000"/>
                <w:sz w:val="21"/>
                <w:szCs w:val="21"/>
              </w:rPr>
              <w:t>8</w:t>
            </w:r>
            <w:r>
              <w:rPr>
                <w:color w:val="000000"/>
                <w:sz w:val="21"/>
                <w:szCs w:val="21"/>
              </w:rPr>
              <w:t>.2</w:t>
            </w:r>
          </w:p>
        </w:tc>
        <w:tc>
          <w:tcPr>
            <w:tcW w:w="934" w:type="dxa"/>
            <w:vAlign w:val="center"/>
          </w:tcPr>
          <w:p>
            <w:pPr>
              <w:pStyle w:val="7"/>
              <w:pBdr>
                <w:bottom w:val="none" w:color="auto" w:sz="0" w:space="0"/>
              </w:pBdr>
              <w:ind w:right="600"/>
              <w:jc w:val="both"/>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04" w:type="dxa"/>
            <w:shd w:val="clear" w:color="auto" w:fill="FFFFFF" w:themeFill="background1"/>
            <w:vAlign w:val="center"/>
          </w:tcPr>
          <w:p>
            <w:pPr>
              <w:pStyle w:val="7"/>
              <w:pBdr>
                <w:bottom w:val="none" w:color="auto" w:sz="0" w:space="0"/>
              </w:pBdr>
              <w:spacing w:line="360" w:lineRule="auto"/>
              <w:ind w:right="600"/>
              <w:jc w:val="both"/>
              <w:rPr>
                <w:rFonts w:ascii="宋体"/>
                <w:color w:val="000000"/>
                <w:sz w:val="21"/>
                <w:szCs w:val="21"/>
                <w:highlight w:val="none"/>
              </w:rPr>
            </w:pPr>
            <w:r>
              <w:rPr>
                <w:rFonts w:hint="eastAsia" w:ascii="宋体"/>
                <w:color w:val="000000"/>
                <w:sz w:val="21"/>
                <w:szCs w:val="21"/>
                <w:highlight w:val="none"/>
              </w:rPr>
              <w:t>3</w:t>
            </w:r>
          </w:p>
        </w:tc>
        <w:tc>
          <w:tcPr>
            <w:tcW w:w="6095" w:type="dxa"/>
            <w:gridSpan w:val="2"/>
            <w:shd w:val="clear" w:color="auto" w:fill="FFFFFF" w:themeFill="background1"/>
            <w:vAlign w:val="center"/>
          </w:tcPr>
          <w:p>
            <w:pPr>
              <w:numPr>
                <w:ilvl w:val="0"/>
                <w:numId w:val="0"/>
              </w:numPr>
              <w:spacing w:line="360" w:lineRule="auto"/>
              <w:rPr>
                <w:color w:val="000000"/>
                <w:sz w:val="21"/>
                <w:szCs w:val="21"/>
                <w:highlight w:val="none"/>
              </w:rPr>
            </w:pPr>
          </w:p>
        </w:tc>
        <w:tc>
          <w:tcPr>
            <w:tcW w:w="1262" w:type="dxa"/>
            <w:shd w:val="clear" w:color="auto" w:fill="FFFFFF" w:themeFill="background1"/>
            <w:vAlign w:val="center"/>
          </w:tcPr>
          <w:p>
            <w:pPr>
              <w:pStyle w:val="7"/>
              <w:pBdr>
                <w:bottom w:val="none" w:color="auto" w:sz="0" w:space="0"/>
              </w:pBdr>
              <w:spacing w:line="360" w:lineRule="auto"/>
              <w:jc w:val="both"/>
              <w:rPr>
                <w:rFonts w:ascii="Calibri" w:hAnsi="Calibri" w:eastAsia="宋体" w:cs="Times New Roman"/>
                <w:color w:val="000000"/>
                <w:kern w:val="2"/>
                <w:sz w:val="21"/>
                <w:szCs w:val="21"/>
                <w:lang w:val="en-US" w:eastAsia="zh-CN" w:bidi="ar-SA"/>
              </w:rPr>
            </w:pPr>
          </w:p>
        </w:tc>
        <w:tc>
          <w:tcPr>
            <w:tcW w:w="1133" w:type="dxa"/>
            <w:shd w:val="clear" w:color="auto" w:fill="FFFFFF" w:themeFill="background1"/>
            <w:vAlign w:val="center"/>
          </w:tcPr>
          <w:p>
            <w:pPr>
              <w:pStyle w:val="7"/>
              <w:pBdr>
                <w:bottom w:val="none" w:color="auto" w:sz="0" w:space="0"/>
              </w:pBdr>
              <w:spacing w:line="360" w:lineRule="auto"/>
              <w:ind w:right="600" w:rightChars="0"/>
              <w:jc w:val="both"/>
              <w:rPr>
                <w:rFonts w:hint="eastAsia" w:ascii="Calibri" w:hAnsi="Calibri" w:eastAsia="宋体" w:cs="Times New Roman"/>
                <w:color w:val="000000"/>
                <w:kern w:val="2"/>
                <w:sz w:val="21"/>
                <w:szCs w:val="21"/>
                <w:lang w:val="en-US" w:eastAsia="zh-CN" w:bidi="ar-SA"/>
              </w:rPr>
            </w:pPr>
          </w:p>
        </w:tc>
        <w:tc>
          <w:tcPr>
            <w:tcW w:w="934" w:type="dxa"/>
            <w:shd w:val="clear" w:color="auto" w:fill="FFFFFF" w:themeFill="background1"/>
            <w:vAlign w:val="center"/>
          </w:tcPr>
          <w:p>
            <w:pPr>
              <w:pStyle w:val="7"/>
              <w:pBdr>
                <w:bottom w:val="none" w:color="auto" w:sz="0" w:space="0"/>
              </w:pBdr>
              <w:spacing w:line="360" w:lineRule="auto"/>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4" w:type="dxa"/>
            <w:shd w:val="clear" w:color="auto" w:fill="FFFFFF" w:themeFill="background1"/>
            <w:vAlign w:val="center"/>
          </w:tcPr>
          <w:p>
            <w:pPr>
              <w:pStyle w:val="7"/>
              <w:pBdr>
                <w:bottom w:val="none" w:color="auto" w:sz="0" w:space="0"/>
              </w:pBdr>
              <w:spacing w:line="360" w:lineRule="auto"/>
              <w:ind w:right="600"/>
              <w:jc w:val="both"/>
              <w:rPr>
                <w:rFonts w:hint="default" w:ascii="宋体" w:eastAsia="宋体"/>
                <w:color w:val="000000"/>
                <w:sz w:val="21"/>
                <w:szCs w:val="21"/>
                <w:highlight w:val="none"/>
                <w:lang w:val="en-US" w:eastAsia="zh-CN"/>
              </w:rPr>
            </w:pPr>
            <w:r>
              <w:rPr>
                <w:rFonts w:hint="eastAsia" w:ascii="宋体"/>
                <w:color w:val="000000"/>
                <w:sz w:val="21"/>
                <w:szCs w:val="21"/>
                <w:highlight w:val="none"/>
                <w:lang w:val="en-US" w:eastAsia="zh-CN"/>
              </w:rPr>
              <w:t>4</w:t>
            </w:r>
          </w:p>
        </w:tc>
        <w:tc>
          <w:tcPr>
            <w:tcW w:w="6095" w:type="dxa"/>
            <w:gridSpan w:val="2"/>
            <w:shd w:val="clear" w:color="auto" w:fill="FFFFFF" w:themeFill="background1"/>
            <w:vAlign w:val="center"/>
          </w:tcPr>
          <w:p>
            <w:pPr>
              <w:numPr>
                <w:ilvl w:val="0"/>
                <w:numId w:val="0"/>
              </w:numPr>
              <w:spacing w:line="360" w:lineRule="auto"/>
              <w:rPr>
                <w:color w:val="000000"/>
                <w:sz w:val="21"/>
                <w:szCs w:val="21"/>
                <w:highlight w:val="none"/>
              </w:rPr>
            </w:pPr>
          </w:p>
        </w:tc>
        <w:tc>
          <w:tcPr>
            <w:tcW w:w="1262" w:type="dxa"/>
            <w:shd w:val="clear" w:color="auto" w:fill="FFFFFF" w:themeFill="background1"/>
            <w:vAlign w:val="center"/>
          </w:tcPr>
          <w:p>
            <w:pPr>
              <w:pStyle w:val="7"/>
              <w:pBdr>
                <w:bottom w:val="none" w:color="auto" w:sz="0" w:space="0"/>
              </w:pBdr>
              <w:spacing w:line="360" w:lineRule="auto"/>
              <w:jc w:val="both"/>
              <w:rPr>
                <w:rFonts w:ascii="Calibri" w:hAnsi="Calibri" w:eastAsia="宋体" w:cs="Times New Roman"/>
                <w:color w:val="000000"/>
                <w:kern w:val="2"/>
                <w:sz w:val="21"/>
                <w:szCs w:val="21"/>
                <w:lang w:val="en-US" w:eastAsia="zh-CN" w:bidi="ar-SA"/>
              </w:rPr>
            </w:pPr>
          </w:p>
        </w:tc>
        <w:tc>
          <w:tcPr>
            <w:tcW w:w="1133" w:type="dxa"/>
            <w:shd w:val="clear" w:color="auto" w:fill="FFFFFF" w:themeFill="background1"/>
            <w:vAlign w:val="center"/>
          </w:tcPr>
          <w:p>
            <w:pPr>
              <w:pStyle w:val="7"/>
              <w:pBdr>
                <w:bottom w:val="none" w:color="auto" w:sz="0" w:space="0"/>
              </w:pBdr>
              <w:spacing w:line="360" w:lineRule="auto"/>
              <w:ind w:right="600" w:rightChars="0"/>
              <w:jc w:val="both"/>
              <w:rPr>
                <w:rFonts w:hint="default" w:cs="Times New Roman"/>
                <w:color w:val="000000"/>
                <w:kern w:val="2"/>
                <w:sz w:val="21"/>
                <w:szCs w:val="21"/>
                <w:lang w:val="en-US" w:eastAsia="zh-CN" w:bidi="ar-SA"/>
              </w:rPr>
            </w:pPr>
          </w:p>
        </w:tc>
        <w:tc>
          <w:tcPr>
            <w:tcW w:w="934" w:type="dxa"/>
            <w:shd w:val="clear" w:color="auto" w:fill="FFFFFF" w:themeFill="background1"/>
            <w:vAlign w:val="center"/>
          </w:tcPr>
          <w:p>
            <w:pPr>
              <w:pStyle w:val="7"/>
              <w:pBdr>
                <w:bottom w:val="none" w:color="auto" w:sz="0" w:space="0"/>
              </w:pBdr>
              <w:spacing w:line="360" w:lineRule="auto"/>
              <w:ind w:right="600" w:rightChars="0"/>
              <w:jc w:val="both"/>
              <w:rPr>
                <w:rFonts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4" w:type="dxa"/>
            <w:shd w:val="clear" w:color="auto" w:fill="FFFFFF" w:themeFill="background1"/>
            <w:vAlign w:val="center"/>
          </w:tcPr>
          <w:p>
            <w:pPr>
              <w:pStyle w:val="7"/>
              <w:pBdr>
                <w:bottom w:val="none" w:color="auto" w:sz="0" w:space="0"/>
              </w:pBdr>
              <w:spacing w:line="360" w:lineRule="auto"/>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5</w:t>
            </w:r>
          </w:p>
        </w:tc>
        <w:tc>
          <w:tcPr>
            <w:tcW w:w="6095" w:type="dxa"/>
            <w:gridSpan w:val="2"/>
            <w:shd w:val="clear" w:color="auto" w:fill="FFFFFF" w:themeFill="background1"/>
            <w:vAlign w:val="center"/>
          </w:tcPr>
          <w:p>
            <w:pPr>
              <w:numPr>
                <w:ilvl w:val="0"/>
                <w:numId w:val="0"/>
              </w:numPr>
              <w:spacing w:line="360" w:lineRule="auto"/>
              <w:rPr>
                <w:color w:val="000000"/>
                <w:sz w:val="21"/>
                <w:szCs w:val="21"/>
                <w:highlight w:val="none"/>
              </w:rPr>
            </w:pPr>
          </w:p>
        </w:tc>
        <w:tc>
          <w:tcPr>
            <w:tcW w:w="1262" w:type="dxa"/>
            <w:shd w:val="clear" w:color="auto" w:fill="FFFFFF" w:themeFill="background1"/>
            <w:vAlign w:val="center"/>
          </w:tcPr>
          <w:p>
            <w:pPr>
              <w:pStyle w:val="7"/>
              <w:pBdr>
                <w:bottom w:val="none" w:color="auto" w:sz="0" w:space="0"/>
              </w:pBdr>
              <w:spacing w:line="360" w:lineRule="auto"/>
              <w:jc w:val="both"/>
              <w:rPr>
                <w:rFonts w:ascii="Calibri" w:hAnsi="Calibri" w:eastAsia="宋体" w:cs="Times New Roman"/>
                <w:color w:val="000000"/>
                <w:kern w:val="2"/>
                <w:sz w:val="21"/>
                <w:szCs w:val="21"/>
                <w:lang w:val="en-US" w:eastAsia="zh-CN" w:bidi="ar-SA"/>
              </w:rPr>
            </w:pPr>
          </w:p>
        </w:tc>
        <w:tc>
          <w:tcPr>
            <w:tcW w:w="1133" w:type="dxa"/>
            <w:shd w:val="clear" w:color="auto" w:fill="FFFFFF" w:themeFill="background1"/>
            <w:vAlign w:val="center"/>
          </w:tcPr>
          <w:p>
            <w:pPr>
              <w:pStyle w:val="7"/>
              <w:pBdr>
                <w:bottom w:val="none" w:color="auto" w:sz="0" w:space="0"/>
              </w:pBdr>
              <w:spacing w:line="360" w:lineRule="auto"/>
              <w:ind w:right="600" w:rightChars="0"/>
              <w:jc w:val="both"/>
              <w:rPr>
                <w:rFonts w:ascii="Calibri" w:hAnsi="Calibri" w:eastAsia="宋体" w:cs="Times New Roman"/>
                <w:color w:val="000000"/>
                <w:kern w:val="2"/>
                <w:sz w:val="21"/>
                <w:szCs w:val="21"/>
                <w:lang w:val="en-US" w:eastAsia="zh-CN" w:bidi="ar-SA"/>
              </w:rPr>
            </w:pPr>
          </w:p>
        </w:tc>
        <w:tc>
          <w:tcPr>
            <w:tcW w:w="934" w:type="dxa"/>
            <w:shd w:val="clear" w:color="auto" w:fill="FFFFFF" w:themeFill="background1"/>
            <w:vAlign w:val="center"/>
          </w:tcPr>
          <w:p>
            <w:pPr>
              <w:pStyle w:val="7"/>
              <w:pBdr>
                <w:bottom w:val="none" w:color="auto" w:sz="0" w:space="0"/>
              </w:pBdr>
              <w:spacing w:line="360" w:lineRule="auto"/>
              <w:ind w:right="600" w:rightChars="0"/>
              <w:jc w:val="both"/>
              <w:rPr>
                <w:rFonts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4" w:type="dxa"/>
            <w:shd w:val="clear" w:color="auto" w:fill="FFFFFF" w:themeFill="background1"/>
            <w:vAlign w:val="center"/>
          </w:tcPr>
          <w:p>
            <w:pPr>
              <w:pStyle w:val="7"/>
              <w:pBdr>
                <w:bottom w:val="none" w:color="auto" w:sz="0" w:space="0"/>
              </w:pBdr>
              <w:spacing w:line="360" w:lineRule="auto"/>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6</w:t>
            </w:r>
          </w:p>
        </w:tc>
        <w:tc>
          <w:tcPr>
            <w:tcW w:w="6095" w:type="dxa"/>
            <w:gridSpan w:val="2"/>
            <w:shd w:val="clear" w:color="auto" w:fill="FFFFFF" w:themeFill="background1"/>
            <w:vAlign w:val="center"/>
          </w:tcPr>
          <w:p>
            <w:pPr>
              <w:numPr>
                <w:ilvl w:val="0"/>
                <w:numId w:val="0"/>
              </w:numPr>
              <w:spacing w:line="360" w:lineRule="auto"/>
              <w:rPr>
                <w:rFonts w:hint="eastAsia"/>
                <w:highlight w:val="none"/>
                <w:lang w:val="en-US" w:eastAsia="zh-CN"/>
              </w:rPr>
            </w:pPr>
          </w:p>
        </w:tc>
        <w:tc>
          <w:tcPr>
            <w:tcW w:w="1262" w:type="dxa"/>
            <w:shd w:val="clear" w:color="auto" w:fill="FFFFFF" w:themeFill="background1"/>
            <w:vAlign w:val="center"/>
          </w:tcPr>
          <w:p>
            <w:pPr>
              <w:pStyle w:val="7"/>
              <w:pBdr>
                <w:bottom w:val="none" w:color="auto" w:sz="0" w:space="0"/>
              </w:pBdr>
              <w:spacing w:line="360" w:lineRule="auto"/>
              <w:jc w:val="both"/>
              <w:rPr>
                <w:rFonts w:ascii="Calibri" w:hAnsi="Calibri" w:eastAsia="宋体" w:cs="Times New Roman"/>
                <w:color w:val="000000"/>
                <w:kern w:val="2"/>
                <w:sz w:val="21"/>
                <w:szCs w:val="21"/>
                <w:lang w:val="en-US" w:eastAsia="zh-CN" w:bidi="ar-SA"/>
              </w:rPr>
            </w:pPr>
          </w:p>
        </w:tc>
        <w:tc>
          <w:tcPr>
            <w:tcW w:w="1133" w:type="dxa"/>
            <w:shd w:val="clear" w:color="auto" w:fill="FFFFFF" w:themeFill="background1"/>
            <w:vAlign w:val="center"/>
          </w:tcPr>
          <w:p>
            <w:pPr>
              <w:pStyle w:val="7"/>
              <w:pBdr>
                <w:bottom w:val="none" w:color="auto" w:sz="0" w:space="0"/>
              </w:pBdr>
              <w:spacing w:line="360" w:lineRule="auto"/>
              <w:ind w:right="600" w:rightChars="0"/>
              <w:jc w:val="both"/>
              <w:rPr>
                <w:rFonts w:hint="default" w:ascii="Calibri" w:hAnsi="Calibri" w:eastAsia="宋体" w:cs="Times New Roman"/>
                <w:color w:val="000000"/>
                <w:kern w:val="2"/>
                <w:sz w:val="21"/>
                <w:szCs w:val="21"/>
                <w:lang w:val="en-US" w:eastAsia="zh-CN" w:bidi="ar-SA"/>
              </w:rPr>
            </w:pPr>
          </w:p>
        </w:tc>
        <w:tc>
          <w:tcPr>
            <w:tcW w:w="934" w:type="dxa"/>
            <w:shd w:val="clear" w:color="auto" w:fill="FFFFFF" w:themeFill="background1"/>
            <w:vAlign w:val="center"/>
          </w:tcPr>
          <w:p>
            <w:pPr>
              <w:pStyle w:val="7"/>
              <w:pBdr>
                <w:bottom w:val="none" w:color="auto" w:sz="0" w:space="0"/>
              </w:pBdr>
              <w:spacing w:line="360" w:lineRule="auto"/>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Align w:val="center"/>
          </w:tcPr>
          <w:p>
            <w:pPr>
              <w:pStyle w:val="7"/>
              <w:pBdr>
                <w:bottom w:val="none" w:color="auto" w:sz="0" w:space="0"/>
              </w:pBdr>
              <w:spacing w:line="360" w:lineRule="auto"/>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7</w:t>
            </w:r>
          </w:p>
        </w:tc>
        <w:tc>
          <w:tcPr>
            <w:tcW w:w="6095" w:type="dxa"/>
            <w:gridSpan w:val="2"/>
            <w:vAlign w:val="center"/>
          </w:tcPr>
          <w:p>
            <w:pPr>
              <w:numPr>
                <w:ilvl w:val="0"/>
                <w:numId w:val="0"/>
              </w:numPr>
              <w:spacing w:line="360" w:lineRule="auto"/>
              <w:rPr>
                <w:rFonts w:hint="default"/>
                <w:lang w:val="en-US" w:eastAsia="zh-CN"/>
              </w:rPr>
            </w:pPr>
          </w:p>
        </w:tc>
        <w:tc>
          <w:tcPr>
            <w:tcW w:w="1262" w:type="dxa"/>
            <w:vAlign w:val="center"/>
          </w:tcPr>
          <w:p>
            <w:pPr>
              <w:pStyle w:val="7"/>
              <w:pBdr>
                <w:bottom w:val="none" w:color="auto" w:sz="0" w:space="0"/>
              </w:pBdr>
              <w:spacing w:line="360" w:lineRule="auto"/>
              <w:jc w:val="both"/>
              <w:rPr>
                <w:rFonts w:ascii="Calibri" w:hAnsi="Calibri" w:eastAsia="宋体" w:cs="Times New Roman"/>
                <w:color w:val="000000"/>
                <w:kern w:val="2"/>
                <w:sz w:val="21"/>
                <w:szCs w:val="21"/>
                <w:lang w:val="en-US" w:eastAsia="zh-CN" w:bidi="ar-SA"/>
              </w:rPr>
            </w:pPr>
          </w:p>
        </w:tc>
        <w:tc>
          <w:tcPr>
            <w:tcW w:w="1133" w:type="dxa"/>
            <w:vAlign w:val="center"/>
          </w:tcPr>
          <w:p>
            <w:pPr>
              <w:pStyle w:val="7"/>
              <w:pBdr>
                <w:bottom w:val="none" w:color="auto" w:sz="0" w:space="0"/>
              </w:pBdr>
              <w:spacing w:line="360" w:lineRule="auto"/>
              <w:ind w:right="600" w:rightChars="0"/>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7"/>
              <w:pBdr>
                <w:bottom w:val="none" w:color="auto" w:sz="0" w:space="0"/>
              </w:pBdr>
              <w:spacing w:line="360" w:lineRule="auto"/>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128" w:type="dxa"/>
            <w:gridSpan w:val="6"/>
          </w:tcPr>
          <w:p>
            <w:pPr>
              <w:spacing w:line="360" w:lineRule="auto"/>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p>
          <w:p>
            <w:pPr>
              <w:spacing w:line="360" w:lineRule="auto"/>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Cs w:val="21"/>
                <w:lang w:val="en-US" w:eastAsia="zh-CN"/>
              </w:rPr>
            </w:pPr>
            <w:r>
              <w:rPr>
                <w:rFonts w:hint="eastAsia"/>
                <w:b/>
                <w:color w:val="000000"/>
                <w:szCs w:val="21"/>
                <w:lang w:val="en-US" w:eastAsia="zh-CN"/>
              </w:rPr>
              <w:t xml:space="preserve"> </w:t>
            </w:r>
          </w:p>
          <w:p>
            <w:pPr>
              <w:spacing w:line="280" w:lineRule="exact"/>
              <w:rPr>
                <w:rFonts w:hint="eastAsia"/>
                <w:b/>
                <w:color w:val="000000"/>
                <w:szCs w:val="21"/>
                <w:lang w:val="en-US" w:eastAsia="zh-CN"/>
              </w:rPr>
            </w:pPr>
          </w:p>
          <w:p>
            <w:pPr>
              <w:spacing w:line="280" w:lineRule="exact"/>
              <w:rPr>
                <w:rFonts w:hint="eastAsia"/>
                <w:b/>
                <w:color w:val="000000"/>
                <w:szCs w:val="21"/>
                <w:lang w:val="en-US" w:eastAsia="zh-CN"/>
              </w:rPr>
            </w:pPr>
          </w:p>
          <w:p>
            <w:pPr>
              <w:spacing w:line="280" w:lineRule="exact"/>
              <w:rPr>
                <w:b/>
                <w:color w:val="000000"/>
                <w:szCs w:val="21"/>
              </w:rPr>
            </w:pPr>
            <w:r>
              <w:rPr>
                <w:rFonts w:hint="eastAsia"/>
                <w:b/>
                <w:color w:val="000000"/>
                <w:szCs w:val="21"/>
              </w:rPr>
              <w:t xml:space="preserve">验证人： </w:t>
            </w:r>
            <w:r>
              <w:rPr>
                <w:b/>
                <w:color w:val="000000"/>
                <w:szCs w:val="21"/>
              </w:rPr>
              <w:t xml:space="preserve">                              </w:t>
            </w:r>
            <w:r>
              <w:rPr>
                <w:rFonts w:hint="eastAsia"/>
                <w:b/>
                <w:color w:val="000000"/>
                <w:szCs w:val="21"/>
              </w:rPr>
              <w:t xml:space="preserve">日期： </w:t>
            </w:r>
            <w:r>
              <w:rPr>
                <w:b/>
                <w:color w:val="000000"/>
                <w:szCs w:val="21"/>
              </w:rPr>
              <w:t xml:space="preserve">        </w:t>
            </w:r>
            <w:r>
              <w:rPr>
                <w:rFonts w:hint="eastAsia"/>
                <w:b/>
                <w:color w:val="000000"/>
                <w:szCs w:val="21"/>
              </w:rPr>
              <w:t xml:space="preserve">年 </w:t>
            </w:r>
            <w:r>
              <w:rPr>
                <w:b/>
                <w:color w:val="000000"/>
                <w:szCs w:val="21"/>
              </w:rPr>
              <w:t xml:space="preserve">  </w:t>
            </w:r>
            <w:r>
              <w:rPr>
                <w:rFonts w:hint="eastAsia"/>
                <w:b/>
                <w:color w:val="000000"/>
                <w:szCs w:val="21"/>
              </w:rPr>
              <w:t xml:space="preserve">月 </w:t>
            </w:r>
            <w:r>
              <w:rPr>
                <w:b/>
                <w:color w:val="000000"/>
                <w:szCs w:val="21"/>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6B8060C"/>
    <w:rsid w:val="49545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2">
    <w:name w:val="heading 4"/>
    <w:basedOn w:val="1"/>
    <w:next w:val="1"/>
    <w:unhideWhenUsed/>
    <w:qFormat/>
    <w:locked/>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5045</Words>
  <Characters>5652</Characters>
  <Lines>67</Lines>
  <Paragraphs>18</Paragraphs>
  <TotalTime>0</TotalTime>
  <ScaleCrop>false</ScaleCrop>
  <LinksUpToDate>false</LinksUpToDate>
  <CharactersWithSpaces>5949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2022-08-03T02:30:49Z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