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受审核部门：设备科     主管领导：刘国光     陪同人员：孔明扬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询问设备科负责人能明确本人在环境管理体系方面的职责：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设备维修保养，部门环境因素识别评价及运行控制。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按照办公过程及设备维护管理过程对环境因素进行了辨识，辨识时考虑了三种时态和三种状态。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设备科相关的环境因素主要包括水电消耗、维修废零部件的排放、废润滑油的排放、废含油手套的排放等。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控制措施：固废分类存放、垃圾等由综合办负责按规定处置，日常培训教育，配备消防器材、应急预案等措施。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本部门办公中所产生的废弃物由综合办统一处理。对可回收的固体废弃物，一部分由厂家回收，厂家不回收的公司统一回收再利用或由物资回收公司处理，不可回收的废弃物由公司综合部统一处理。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维修过程产生的废零部件外售给废品回收公司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含油抹布和手套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集中收集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废润滑油集中收集在油桶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存放在危险废气仓库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等量充足后集中处理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目前危废处理合同已签订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还未处理过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人员参与了公司组织的消防应急预案演练，通过演练学到了应急和救援的知识，基本符合。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402A2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5CF1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97F61"/>
    <w:rsid w:val="005A000F"/>
    <w:rsid w:val="005B0413"/>
    <w:rsid w:val="005B6888"/>
    <w:rsid w:val="005E1DC4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616"/>
    <w:rsid w:val="00665980"/>
    <w:rsid w:val="006663E9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182A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10138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E26C0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05DF"/>
    <w:rsid w:val="00C51A36"/>
    <w:rsid w:val="00C548BE"/>
    <w:rsid w:val="00C55228"/>
    <w:rsid w:val="00C62C1F"/>
    <w:rsid w:val="00C67A2A"/>
    <w:rsid w:val="00C67E19"/>
    <w:rsid w:val="00C67E47"/>
    <w:rsid w:val="00C71E85"/>
    <w:rsid w:val="00C86F9B"/>
    <w:rsid w:val="00CB260B"/>
    <w:rsid w:val="00CC1EA6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0DC16E79"/>
    <w:rsid w:val="108219C2"/>
    <w:rsid w:val="14882533"/>
    <w:rsid w:val="17D01628"/>
    <w:rsid w:val="19A17CE8"/>
    <w:rsid w:val="3D417B83"/>
    <w:rsid w:val="50967294"/>
    <w:rsid w:val="53E359DE"/>
    <w:rsid w:val="54B01366"/>
    <w:rsid w:val="5EA12B9A"/>
    <w:rsid w:val="60A64EC5"/>
    <w:rsid w:val="76683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2022-08-23T01:48:49Z</dcterms:modified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8C33C3CEDEA443B4B3DD6BBBACC81CF2</vt:lpwstr>
  </property>
</Properties>
</file>