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333"/>
        <w:gridCol w:w="1113"/>
        <w:gridCol w:w="1407"/>
        <w:gridCol w:w="1282"/>
        <w:gridCol w:w="1498"/>
        <w:gridCol w:w="189"/>
        <w:gridCol w:w="1521"/>
        <w:gridCol w:w="1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23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陕西秦航机械制造有限责任公司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3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22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81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白模制作→造型→熔炼→浇注→清理→检验→入库。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原材料→车工工序（内外径、平面、止口）→加工中心（钻孔、镗孔、铣孔）→清洗、检验、包装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22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381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重大环境因素：火灾，粉尘排放，固废排放；噪声排放；废水排放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22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381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GB/T1184-1996《形状和位置公差未注公差值》、GB/T1184-1996《形状和位置公差未注公差值》、DZ97259520401平衡轴支架、DZ97259520432钢板弹簧座，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环保法、消防法、大气污染防治法、固体废弃物污染环境保护法等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22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381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监测噪音、废水、粉尘、废气等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2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81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2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6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23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6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9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30B5946"/>
    <w:rsid w:val="4585575A"/>
    <w:rsid w:val="62283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2022-08-11T08:06:44Z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2052-11.1.0.12302</vt:lpwstr>
  </property>
</Properties>
</file>