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陪同人员：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王亚蓉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1D41D5"/>
                <w:sz w:val="24"/>
                <w:szCs w:val="24"/>
              </w:rPr>
              <w:t>审核员：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 xml:space="preserve">张磊  </w:t>
            </w:r>
            <w:r>
              <w:rPr>
                <w:color w:val="1D41D5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1D41D5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1D41D5"/>
                <w:sz w:val="24"/>
                <w:szCs w:val="24"/>
              </w:rPr>
              <w:t>审核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color w:val="1D41D5"/>
                <w:sz w:val="24"/>
                <w:szCs w:val="24"/>
              </w:rPr>
              <w:t>：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2022-08-02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</w:rPr>
              <w:t>6.1、6.2、8.1、8.2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危险源辨识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如：手册第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val="en-US" w:eastAsia="zh-CN"/>
              </w:rPr>
              <w:t>条款、《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危险源辨识、风险评价和控制措施的确定程序</w:t>
            </w:r>
            <w:r>
              <w:rPr>
                <w:rFonts w:hint="eastAsia"/>
                <w:color w:val="auto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highlight w:val="magent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查看《危险源清单》和《重要危险源清单》</w:t>
            </w:r>
          </w:p>
          <w:p>
            <w:pP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color w:val="auto"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color w:val="auto"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是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：</w:t>
            </w:r>
          </w:p>
          <w:p>
            <w:p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机械伤害：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物体打击  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高空落物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高空坠落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车辆撞人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化学伤害：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中毒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灼烧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粉尘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</w:t>
            </w:r>
          </w:p>
          <w:p>
            <w:pPr>
              <w:rPr>
                <w:rFonts w:hint="default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冷热伤害：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烫伤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中暑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冻伤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电的伤害</w:t>
            </w:r>
            <w:r>
              <w:rPr>
                <w:rFonts w:hint="eastAsia"/>
                <w:color w:val="auto"/>
                <w:szCs w:val="18"/>
                <w:highlight w:val="none"/>
                <w:lang w:eastAsia="zh-CN"/>
              </w:rPr>
              <w:t>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触电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雷击 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火灾伤害：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爆炸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灼烧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声音伤害：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噪声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评价不可接受风险的准则：</w:t>
            </w:r>
            <w:r>
              <w:rPr>
                <w:rFonts w:hint="eastAsia"/>
                <w:color w:val="auto"/>
                <w:lang w:val="en-US" w:eastAsia="zh-CN"/>
              </w:rPr>
              <w:t>《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危险源辨识、风险评价和控制措施的确定程序</w:t>
            </w:r>
            <w:r>
              <w:rPr>
                <w:rFonts w:hint="eastAsia"/>
                <w:color w:val="auto"/>
                <w:lang w:val="en-US" w:eastAsia="zh-CN"/>
              </w:rPr>
              <w:t>》</w:t>
            </w:r>
            <w:r>
              <w:rPr>
                <w:rFonts w:hint="eastAsia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LEC法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重要危险源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，及其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控制措施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是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：</w:t>
            </w:r>
          </w:p>
          <w:tbl>
            <w:tblPr>
              <w:tblStyle w:val="7"/>
              <w:tblW w:w="89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9"/>
              <w:gridCol w:w="1950"/>
              <w:gridCol w:w="3910"/>
              <w:gridCol w:w="11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13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交通事故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撞伤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按交通法规驾驶车辆行驶</w:t>
                  </w:r>
                </w:p>
              </w:tc>
              <w:tc>
                <w:tcPr>
                  <w:tcW w:w="11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安全用电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禁止乱接乱接、日常检查电源线是否老化</w:t>
                  </w:r>
                </w:p>
              </w:tc>
              <w:tc>
                <w:tcPr>
                  <w:tcW w:w="11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灼烧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操作现场禁止吸烟，安全用电</w:t>
                  </w:r>
                </w:p>
              </w:tc>
              <w:tc>
                <w:tcPr>
                  <w:tcW w:w="11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生产加工防护不当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人身伤害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严格按照生产安全操作规程进行操作</w:t>
                  </w:r>
                </w:p>
              </w:tc>
              <w:tc>
                <w:tcPr>
                  <w:tcW w:w="11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生产部</w:t>
                  </w:r>
                </w:p>
              </w:tc>
            </w:tr>
          </w:tbl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职业健康安全目标</w:t>
            </w:r>
          </w:p>
          <w:p>
            <w:pPr>
              <w:rPr>
                <w:rFonts w:hint="eastAsia" w:ascii="Arial" w:hAnsi="Arial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  <w:r>
              <w:rPr>
                <w:rFonts w:hint="eastAsia"/>
                <w:lang w:val="en-US" w:eastAsia="zh-CN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  <w:r>
              <w:rPr>
                <w:rFonts w:hint="eastAsia"/>
                <w:vertAlign w:val="baseline"/>
                <w:lang w:val="en-US" w:eastAsia="zh-CN"/>
              </w:rPr>
              <w:t>查《2022目标分解及统计》第一、二季度完成情况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39"/>
              <w:gridCol w:w="2688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39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职业健康安全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2688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测量方法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3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火灾事故为0</w:t>
                  </w:r>
                </w:p>
              </w:tc>
              <w:tc>
                <w:tcPr>
                  <w:tcW w:w="268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以实际发生为准进行计数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生产部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cs="Times New Roman"/>
                      <w:color w:val="auto"/>
                      <w:lang w:val="en-GB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3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人员死亡事故为0人次</w:t>
                  </w:r>
                </w:p>
              </w:tc>
              <w:tc>
                <w:tcPr>
                  <w:tcW w:w="268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以实际发生为准进行计数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生产部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3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控制年工伤事故为≤3人次</w:t>
                  </w:r>
                </w:p>
              </w:tc>
              <w:tc>
                <w:tcPr>
                  <w:tcW w:w="268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Times New Roman"/>
                      <w:color w:val="FF00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以实际发生为准进行计数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FF00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生产部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3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职业病发生事故为0人次</w:t>
                  </w:r>
                </w:p>
              </w:tc>
              <w:tc>
                <w:tcPr>
                  <w:tcW w:w="268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Times New Roman"/>
                      <w:color w:val="FF00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查看职工职业病体检报告 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FF00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生产部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运行</w:t>
            </w:r>
            <w:r>
              <w:rPr>
                <w:rFonts w:hint="eastAsia"/>
              </w:rPr>
              <w:t>控制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 xml:space="preserve">8.1 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如：《产品/服务提供控制程序》、《工艺流程图》、《图纸》、《作业指导书》、《操作规程》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组织应在</w:t>
            </w:r>
            <w:r>
              <w:rPr>
                <w:rFonts w:hint="eastAsia"/>
                <w:highlight w:val="none"/>
                <w:lang w:val="en-US" w:eastAsia="zh-CN"/>
              </w:rPr>
              <w:t>生产过程中</w:t>
            </w:r>
            <w:r>
              <w:rPr>
                <w:rFonts w:hint="eastAsia"/>
                <w:highlight w:val="none"/>
              </w:rPr>
              <w:t>进行</w:t>
            </w:r>
            <w:r>
              <w:rPr>
                <w:rFonts w:hint="eastAsia"/>
                <w:highlight w:val="none"/>
                <w:lang w:val="en-US" w:eastAsia="zh-CN"/>
              </w:rPr>
              <w:t>环境因素的控制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产品/服务1：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《工艺流程图》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《操作规程》：（详见附件）</w:t>
            </w:r>
          </w:p>
          <w:p>
            <w:pPr>
              <w:rPr>
                <w:rFonts w:hint="default"/>
                <w:highlight w:val="cyan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生产工艺规程：</w:t>
            </w:r>
          </w:p>
          <w:p>
            <w:pPr>
              <w:ind w:firstLine="105" w:firstLineChars="5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配料、干燥→塑化挤出 →真空定径、冷却成型→</w:t>
            </w:r>
            <w:r>
              <w:rPr>
                <w:rFonts w:hint="eastAsia" w:eastAsia="宋体"/>
                <w:color w:val="auto"/>
                <w:lang w:val="en-US" w:eastAsia="zh-CN"/>
              </w:rPr>
              <w:t>打码</w:t>
            </w:r>
            <w:r>
              <w:rPr>
                <w:rFonts w:hint="default" w:eastAsia="宋体"/>
                <w:color w:val="auto"/>
                <w:lang w:val="en-US" w:eastAsia="zh-CN"/>
              </w:rPr>
              <w:t>→牵引→定长切割→检验→</w:t>
            </w:r>
            <w:r>
              <w:rPr>
                <w:rFonts w:hint="eastAsia"/>
                <w:color w:val="auto"/>
                <w:lang w:val="en-US" w:eastAsia="zh-CN"/>
              </w:rPr>
              <w:t>包装入库</w:t>
            </w:r>
          </w:p>
          <w:p>
            <w:pPr>
              <w:rPr>
                <w:rFonts w:hint="eastAsia"/>
                <w:highlight w:val="cya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询问生产废水是否含有一类污染物，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有，说明：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车间处理方式：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循环使用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排入公司内部污水处理站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排入市政管网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车间排口处理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查看车间污水处理记录（适用时）（不适用）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处理物质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处理方法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关键参数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询问生产车间是否有废气排放，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sym w:font="Wingdings 2" w:char="0052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粉尘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酸性气体，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碱性气体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VOC     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查看车间废气处理记录（适用时）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5"/>
              <w:gridCol w:w="1541"/>
              <w:gridCol w:w="1115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9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4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废气所含物质</w:t>
                  </w:r>
                </w:p>
              </w:tc>
              <w:tc>
                <w:tcPr>
                  <w:tcW w:w="111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处理方法</w:t>
                  </w: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关键参数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9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9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4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1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9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4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1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询问生产车间是否有较大噪声废气排放，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sym w:font="Wingdings 2" w:char="0052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设备运转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压缩空气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锻造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u w:val="none"/>
                <w:lang w:val="en-US" w:eastAsia="zh-CN"/>
              </w:rPr>
              <w:t xml:space="preserve">其他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询问减少噪声排放的措施：选用低噪设备、车间隔离、加强设备维护、安装减震垫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询问生产车间是否使用危险化学品，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危化品的特性：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查看相关MSDS或告知牌的发放和使用情况，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不合格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查看车间危化品管理的情况（适用时）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4"/>
              <w:gridCol w:w="1009"/>
              <w:gridCol w:w="1459"/>
              <w:gridCol w:w="2049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1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危化品名称</w:t>
                  </w:r>
                </w:p>
              </w:tc>
              <w:tc>
                <w:tcPr>
                  <w:tcW w:w="10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是否有MSDS</w:t>
                  </w:r>
                </w:p>
              </w:tc>
              <w:tc>
                <w:tcPr>
                  <w:tcW w:w="1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危害特性</w:t>
                  </w:r>
                </w:p>
              </w:tc>
              <w:tc>
                <w:tcPr>
                  <w:tcW w:w="204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控制措施要求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措施落实情况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1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4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1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9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4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1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0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45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highlight w:val="cya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查看设备</w:t>
            </w:r>
            <w:r>
              <w:rPr>
                <w:rFonts w:hint="eastAsia"/>
                <w:lang w:val="en-US" w:eastAsia="zh-CN"/>
              </w:rPr>
              <w:t>的完好情况（有无跑冒滴漏的现象）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查看</w:t>
            </w:r>
            <w:r>
              <w:rPr>
                <w:rFonts w:hint="eastAsia"/>
                <w:lang w:val="en-US" w:eastAsia="zh-CN"/>
              </w:rPr>
              <w:t xml:space="preserve">生产/服务对危险废弃物的管理情况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是否按操作要求进行操作。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抽样询问</w:t>
            </w:r>
            <w:r>
              <w:rPr>
                <w:rFonts w:hint="eastAsia"/>
                <w:lang w:eastAsia="zh-CN"/>
              </w:rPr>
              <w:t>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</w:t>
            </w: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eastAsia"/>
                <w:lang w:eastAsia="zh-CN"/>
              </w:rPr>
              <w:t>按操作要求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查看与</w:t>
            </w:r>
            <w:r>
              <w:rPr>
                <w:rFonts w:hint="eastAsia"/>
                <w:lang w:val="en-US" w:eastAsia="zh-CN"/>
              </w:rPr>
              <w:t>安全</w:t>
            </w:r>
            <w:r>
              <w:rPr>
                <w:rFonts w:hint="eastAsia"/>
                <w:lang w:eastAsia="zh-CN"/>
              </w:rPr>
              <w:t>有关的</w:t>
            </w:r>
            <w:r>
              <w:rPr>
                <w:rFonts w:hint="eastAsia"/>
                <w:lang w:val="en-US" w:eastAsia="zh-CN"/>
              </w:rPr>
              <w:t>的控制参数</w:t>
            </w:r>
            <w:r>
              <w:rPr>
                <w:rFonts w:hint="eastAsia"/>
                <w:lang w:eastAsia="zh-CN"/>
              </w:rPr>
              <w:t>是否按操作要求进行操作。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查看是否使用了</w:t>
            </w:r>
            <w:r>
              <w:rPr>
                <w:rFonts w:hint="eastAsia"/>
                <w:lang w:val="en-US" w:eastAsia="zh-CN"/>
              </w:rPr>
              <w:t>经校准</w:t>
            </w:r>
            <w:r>
              <w:rPr>
                <w:rFonts w:hint="eastAsia"/>
                <w:lang w:eastAsia="zh-CN"/>
              </w:rPr>
              <w:t>的与</w:t>
            </w:r>
            <w:r>
              <w:rPr>
                <w:rFonts w:hint="eastAsia"/>
                <w:lang w:val="en-US" w:eastAsia="zh-CN"/>
              </w:rPr>
              <w:t>安全</w:t>
            </w:r>
            <w:r>
              <w:rPr>
                <w:rFonts w:hint="eastAsia"/>
                <w:lang w:eastAsia="zh-CN"/>
              </w:rPr>
              <w:t>有关的监视测量设备。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查看</w:t>
            </w:r>
            <w:r>
              <w:rPr>
                <w:rFonts w:hint="eastAsia"/>
                <w:lang w:val="en-US" w:eastAsia="zh-CN"/>
              </w:rPr>
              <w:t xml:space="preserve">生产/服务的安全装置的完好情况    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抽样询问</w:t>
            </w:r>
            <w:r>
              <w:rPr>
                <w:rFonts w:hint="eastAsia"/>
                <w:lang w:eastAsia="zh-CN"/>
              </w:rPr>
              <w:t>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是否按要求</w:t>
            </w:r>
            <w:r>
              <w:rPr>
                <w:rFonts w:hint="eastAsia"/>
                <w:lang w:val="en-US" w:eastAsia="zh-CN"/>
              </w:rPr>
              <w:t xml:space="preserve">佩戴劳保用品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  部分员工未按要求佩戴劳保用品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查看消防设施的完好情况和日常检查情况   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现场查看</w:t>
            </w:r>
            <w:r>
              <w:rPr>
                <w:rFonts w:hint="default" w:eastAsia="宋体"/>
                <w:color w:val="auto"/>
                <w:lang w:val="en-US" w:eastAsia="zh-CN"/>
              </w:rPr>
              <w:t>塑化挤出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作业区员工正在生产MPPOD110电力护套管，吊卸PP颗粒，操作人员有佩戴劳保用品，依照设备操作规程进行操作，现场查看溶解温度在218℃，设备运转正常。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夜班现场照明良好，装卸车辆运输正常，叉车工持证上岗，无乱丢废弃物现象，现场及时清场，生产现场设备运转正常，员工值班记录无异常。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如：《化学品管理控制程序》《库房管理制度》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原材料储存（聚乙烯、聚丙烯等）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化学品防护性要求：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防潮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防火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易碎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防倒置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防日晒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温度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湿度  </w:t>
            </w:r>
          </w:p>
          <w:p>
            <w:pPr>
              <w:ind w:firstLine="189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保存期限（部分）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可包括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标识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防漏托盘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地面防渗层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灭火器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储存温湿度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传输或运输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保护</w:t>
            </w:r>
          </w:p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对剧毒品的管理：（适用时）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目前的剧毒品名称：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对剧毒品的管理：（适用时）无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目前的剧毒品名称：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五双管理：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双人入库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双人领用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双账簿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双锁（钥匙）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双人出库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化学品现场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抽查化学品名称：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有MSDS或告知卡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防泄露措施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消防措施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存储量适宜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  <w:lang w:val="en-US" w:eastAsia="zh-CN"/>
              </w:rPr>
              <w:t>≤ 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  <w:lang w:val="en-US" w:eastAsia="zh-CN"/>
              </w:rPr>
              <w:t xml:space="preserve">   %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防渗漏报警措施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有保温措施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危险废物现场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抽查危废品名称：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无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有MSDS或告知卡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防泄露措施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消防措施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存储量适宜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  <w:lang w:val="en-US" w:eastAsia="zh-CN"/>
              </w:rPr>
              <w:t xml:space="preserve"> ≤ 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  <w:lang w:val="en-US" w:eastAsia="zh-CN"/>
              </w:rPr>
              <w:t xml:space="preserve">   %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防渗漏措施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叉车加油和充电情况控制：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燃油叉车有固定加油点：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是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叉车加油时是否有防泄露/渗漏等措施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是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叉车加油处是否有消防措施       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是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叉车</w:t>
            </w:r>
            <w:r>
              <w:rPr>
                <w:rFonts w:hint="eastAsia"/>
                <w:lang w:val="en-US" w:eastAsia="zh-CN"/>
              </w:rPr>
              <w:t>充电</w:t>
            </w:r>
            <w:r>
              <w:rPr>
                <w:rFonts w:hint="eastAsia"/>
                <w:highlight w:val="none"/>
                <w:lang w:val="en-US" w:eastAsia="zh-CN"/>
              </w:rPr>
              <w:t xml:space="preserve">场所是否通风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充电电源是否有充满断电的功能 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叉车充电处是否有消防措施     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叉车充电处是否有禁火标识     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运行控制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如：手册第7.1条款、《</w:t>
            </w:r>
            <w:r>
              <w:rPr>
                <w:rFonts w:hint="eastAsia"/>
                <w:color w:val="auto"/>
              </w:rPr>
              <w:t>基础设施</w:t>
            </w:r>
            <w:r>
              <w:rPr>
                <w:rFonts w:hint="eastAsia"/>
                <w:color w:val="auto"/>
                <w:lang w:val="en-US" w:eastAsia="zh-CN"/>
              </w:rPr>
              <w:t>控制程序》、《设备管理制度》、《设备操作规程》</w:t>
            </w:r>
          </w:p>
          <w:p>
            <w:pPr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锅炉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电梯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压力容器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压力管道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不适用 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1585" w:type="dxa"/>
            <w:vMerge w:val="restart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基础设施包括：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办公楼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车间厂房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库房 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生产设备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特种设备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动力设施</w:t>
            </w:r>
          </w:p>
          <w:p>
            <w:pPr>
              <w:ind w:firstLine="1680" w:firstLineChars="80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试验设备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辅助设施 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查看对设备采购的控制</w:t>
            </w:r>
          </w:p>
          <w:tbl>
            <w:tblPr>
              <w:tblStyle w:val="8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7"/>
              <w:gridCol w:w="1560"/>
              <w:gridCol w:w="1911"/>
              <w:gridCol w:w="22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3017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新采购的设备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名称/型号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设备申购单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号/日期</w:t>
                  </w:r>
                </w:p>
              </w:tc>
              <w:tc>
                <w:tcPr>
                  <w:tcW w:w="1911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设备验收单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号/日期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--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911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ascii="Calibri" w:hAnsi="Calibri"/>
                      <w:color w:val="auto"/>
                    </w:rPr>
                    <w:sym w:font="Wingdings 2" w:char="0052"/>
                  </w:r>
                  <w:r>
                    <w:rPr>
                      <w:rFonts w:hint="eastAsia"/>
                      <w:color w:val="auto"/>
                    </w:rPr>
                    <w:t xml:space="preserve">齐全    </w:t>
                  </w: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911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 xml:space="preserve">齐全    </w:t>
                  </w: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缺少</w:t>
                  </w:r>
                </w:p>
              </w:tc>
            </w:tr>
          </w:tbl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查看对设备维保的控制</w:t>
            </w:r>
          </w:p>
          <w:p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提供了2022年日常维修保养计划。</w:t>
            </w:r>
          </w:p>
          <w:tbl>
            <w:tblPr>
              <w:tblStyle w:val="8"/>
              <w:tblW w:w="102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2"/>
              <w:gridCol w:w="1174"/>
              <w:gridCol w:w="4361"/>
              <w:gridCol w:w="1870"/>
              <w:gridCol w:w="1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设备名称</w:t>
                  </w:r>
                </w:p>
              </w:tc>
              <w:tc>
                <w:tcPr>
                  <w:tcW w:w="1174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维保日期</w:t>
                  </w:r>
                </w:p>
              </w:tc>
              <w:tc>
                <w:tcPr>
                  <w:tcW w:w="4361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维保内容</w:t>
                  </w:r>
                </w:p>
              </w:tc>
              <w:tc>
                <w:tcPr>
                  <w:tcW w:w="187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验收结果</w:t>
                  </w:r>
                </w:p>
              </w:tc>
              <w:tc>
                <w:tcPr>
                  <w:tcW w:w="1110" w:type="dxa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验收人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管材生产线PE250</w:t>
                  </w:r>
                </w:p>
              </w:tc>
              <w:tc>
                <w:tcPr>
                  <w:tcW w:w="1174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2022.7</w:t>
                  </w:r>
                </w:p>
              </w:tc>
              <w:tc>
                <w:tcPr>
                  <w:tcW w:w="436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设备清洁，设备运转正常</w:t>
                  </w:r>
                </w:p>
              </w:tc>
              <w:tc>
                <w:tcPr>
                  <w:tcW w:w="187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color w:val="auto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合格 </w:t>
                  </w:r>
                  <w:r>
                    <w:rPr>
                      <w:rFonts w:ascii="Calibri" w:hAnsi="Calibri"/>
                      <w:color w:val="auto"/>
                      <w:highlight w:val="none"/>
                    </w:rPr>
                    <w:t>□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缺少</w:t>
                  </w:r>
                </w:p>
              </w:tc>
              <w:tc>
                <w:tcPr>
                  <w:tcW w:w="111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color w:val="FF0000"/>
                      <w:highlight w:val="none"/>
                      <w:lang w:val="en-US" w:eastAsia="zh-CN"/>
                    </w:rPr>
                    <w:t>王洪涛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管材生产线PVC-UH400</w:t>
                  </w:r>
                </w:p>
              </w:tc>
              <w:tc>
                <w:tcPr>
                  <w:tcW w:w="1174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2022.7</w:t>
                  </w:r>
                </w:p>
              </w:tc>
              <w:tc>
                <w:tcPr>
                  <w:tcW w:w="4361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设备清洁，设备运转正常</w:t>
                  </w:r>
                </w:p>
              </w:tc>
              <w:tc>
                <w:tcPr>
                  <w:tcW w:w="1870" w:type="dxa"/>
                  <w:vAlign w:val="top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 w:ascii="Calibri" w:hAnsi="Calibri"/>
                      <w:color w:val="auto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合格 </w:t>
                  </w:r>
                  <w:r>
                    <w:rPr>
                      <w:rFonts w:ascii="Calibri" w:hAnsi="Calibri"/>
                      <w:color w:val="auto"/>
                      <w:highlight w:val="none"/>
                    </w:rPr>
                    <w:t>□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缺少</w:t>
                  </w:r>
                </w:p>
              </w:tc>
              <w:tc>
                <w:tcPr>
                  <w:tcW w:w="111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Calibri" w:hAnsi="Calibri"/>
                      <w:color w:val="auto"/>
                      <w:highlight w:val="no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174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4361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870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</w:tr>
          </w:tbl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查看对设备维修的控制</w:t>
            </w:r>
          </w:p>
          <w:p>
            <w:pPr>
              <w:rPr>
                <w:rFonts w:hint="eastAsia"/>
                <w:color w:val="auto"/>
              </w:rPr>
            </w:pPr>
            <w:r>
              <w:drawing>
                <wp:inline distT="0" distB="0" distL="114300" distR="114300">
                  <wp:extent cx="2167890" cy="2974340"/>
                  <wp:effectExtent l="0" t="0" r="3810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890" cy="297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176145" cy="2949575"/>
                  <wp:effectExtent l="0" t="0" r="8255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145" cy="294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设备完好情况</w:t>
            </w:r>
          </w:p>
          <w:p>
            <w:pPr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是否发生设备故障引起停产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 w:ascii="Calibri" w:hAnsi="Calibri"/>
                <w:color w:val="auto"/>
                <w:lang w:eastAsia="zh-CN"/>
              </w:rPr>
              <w:sym w:font="Wingdings 2" w:char="0052"/>
            </w:r>
            <w:r>
              <w:rPr>
                <w:rFonts w:hint="eastAsia"/>
                <w:color w:val="auto"/>
              </w:rPr>
              <w:t>未发生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color w:val="auto"/>
                <w:lang w:eastAsia="zh-CN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已发生</w:t>
            </w:r>
          </w:p>
          <w:tbl>
            <w:tblPr>
              <w:tblStyle w:val="8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设备故障引起停产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描述</w:t>
                  </w:r>
                </w:p>
              </w:tc>
              <w:tc>
                <w:tcPr>
                  <w:tcW w:w="1363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发生日期</w:t>
                  </w:r>
                </w:p>
              </w:tc>
              <w:tc>
                <w:tcPr>
                  <w:tcW w:w="1817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color w:val="auto"/>
                    </w:rPr>
                    <w:t>停机时间</w:t>
                  </w:r>
                  <w:r>
                    <w:rPr>
                      <w:rFonts w:hint="eastAsia" w:ascii="Calibri" w:hAnsi="Calibri"/>
                      <w:color w:val="auto"/>
                      <w:lang w:eastAsia="zh-CN"/>
                    </w:rPr>
                    <w:t>（</w:t>
                  </w:r>
                  <w:r>
                    <w:rPr>
                      <w:rFonts w:hint="eastAsia" w:ascii="Calibri" w:hAnsi="Calibri"/>
                      <w:color w:val="auto"/>
                      <w:lang w:val="en-US" w:eastAsia="zh-CN"/>
                    </w:rPr>
                    <w:t>小时</w:t>
                  </w:r>
                  <w:r>
                    <w:rPr>
                      <w:rFonts w:hint="eastAsia" w:ascii="Calibri" w:hAnsi="Calibri"/>
                      <w:color w:val="auto"/>
                      <w:lang w:eastAsia="zh-CN"/>
                    </w:rPr>
                    <w:t>）</w:t>
                  </w:r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是否影响产品质量</w:t>
                  </w: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--</w:t>
                  </w:r>
                </w:p>
              </w:tc>
              <w:tc>
                <w:tcPr>
                  <w:tcW w:w="1363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817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920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 w:eastAsia="宋体"/>
                      <w:color w:val="auto"/>
                      <w:lang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</w:tr>
          </w:tbl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特种设备控制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特种设备种类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叉车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行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车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锅炉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电梯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压力容器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压力管道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不适用  </w:t>
            </w:r>
          </w:p>
          <w:tbl>
            <w:tblPr>
              <w:tblStyle w:val="8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设备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叉车</w:t>
                  </w:r>
                </w:p>
              </w:tc>
              <w:tc>
                <w:tcPr>
                  <w:tcW w:w="1297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场内皖AE：3387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744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0ND5110-2207-E06231</w:t>
                  </w:r>
                  <w:r>
                    <w:rPr>
                      <w:rFonts w:hint="eastAsia"/>
                      <w:color w:val="auto"/>
                    </w:rPr>
                    <w:t xml:space="preserve">   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2023</w:t>
                  </w:r>
                  <w:r>
                    <w:rPr>
                      <w:rFonts w:hint="eastAsia"/>
                      <w:color w:val="auto"/>
                    </w:rPr>
                    <w:t>年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color w:val="auto"/>
                    </w:rPr>
                    <w:t>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</w:rPr>
                  </w:pPr>
                  <w:r>
                    <w:rPr>
                      <w:rFonts w:ascii="Calibri" w:hAnsi="Calibri"/>
                      <w:color w:val="auto"/>
                    </w:rPr>
                    <w:sym w:font="Wingdings 2" w:char="0052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</w:rPr>
                  </w:pPr>
                  <w:r>
                    <w:rPr>
                      <w:rFonts w:ascii="Calibri" w:hAnsi="Calibri"/>
                      <w:color w:val="auto"/>
                    </w:rPr>
                    <w:sym w:font="Wingdings 2" w:char="0052"/>
                  </w:r>
                  <w:r>
                    <w:rPr>
                      <w:rFonts w:hint="eastAsia"/>
                      <w:color w:val="auto"/>
                    </w:rPr>
                    <w:t xml:space="preserve">有  </w:t>
                  </w: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叉车</w:t>
                  </w:r>
                </w:p>
              </w:tc>
              <w:tc>
                <w:tcPr>
                  <w:tcW w:w="1297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场内皖AE：0264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744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0ND5110-2207-E06230</w:t>
                  </w:r>
                  <w:r>
                    <w:rPr>
                      <w:rFonts w:hint="eastAsia"/>
                      <w:color w:val="auto"/>
                    </w:rPr>
                    <w:t xml:space="preserve">   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2023</w:t>
                  </w:r>
                  <w:r>
                    <w:rPr>
                      <w:rFonts w:hint="eastAsia"/>
                      <w:color w:val="auto"/>
                    </w:rPr>
                    <w:t>年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color w:val="auto"/>
                    </w:rPr>
                    <w:t>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</w:rPr>
                  </w:pPr>
                  <w:r>
                    <w:rPr>
                      <w:rFonts w:ascii="Calibri" w:hAnsi="Calibri"/>
                      <w:color w:val="auto"/>
                    </w:rPr>
                    <w:sym w:font="Wingdings 2" w:char="0052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</w:rPr>
                  </w:pPr>
                  <w:r>
                    <w:rPr>
                      <w:rFonts w:ascii="Calibri" w:hAnsi="Calibri"/>
                      <w:color w:val="auto"/>
                    </w:rPr>
                    <w:sym w:font="Wingdings 2" w:char="0052"/>
                  </w:r>
                  <w:r>
                    <w:rPr>
                      <w:rFonts w:hint="eastAsia"/>
                      <w:color w:val="auto"/>
                    </w:rPr>
                    <w:t xml:space="preserve">有  </w:t>
                  </w: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安全阀</w:t>
                  </w:r>
                </w:p>
              </w:tc>
              <w:tc>
                <w:tcPr>
                  <w:tcW w:w="1297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517574</w:t>
                  </w:r>
                </w:p>
              </w:tc>
              <w:tc>
                <w:tcPr>
                  <w:tcW w:w="1744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0FD21-21-09083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2022年8月11日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</w:rPr>
                  </w:pPr>
                  <w:r>
                    <w:rPr>
                      <w:rFonts w:ascii="Calibri" w:hAnsi="Calibri"/>
                      <w:color w:val="auto"/>
                    </w:rPr>
                    <w:sym w:font="Wingdings 2" w:char="0052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</w:rPr>
                  </w:pPr>
                  <w:r>
                    <w:rPr>
                      <w:rFonts w:ascii="Calibri" w:hAnsi="Calibri"/>
                      <w:color w:val="auto"/>
                    </w:rPr>
                    <w:sym w:font="Wingdings 2" w:char="0052"/>
                  </w:r>
                  <w:r>
                    <w:rPr>
                      <w:rFonts w:hint="eastAsia"/>
                      <w:color w:val="auto"/>
                    </w:rPr>
                    <w:t xml:space="preserve">有  </w:t>
                  </w:r>
                  <w:r>
                    <w:rPr>
                      <w:rFonts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无</w:t>
                  </w:r>
                </w:p>
              </w:tc>
            </w:tr>
          </w:tbl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1585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如：《应急准备和响应控制程序》、《应急预案》</w:t>
            </w:r>
          </w:p>
        </w:tc>
        <w:tc>
          <w:tcPr>
            <w:tcW w:w="158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本部门是否发生应急演练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参加公司组织的应急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本部门组织的专项应急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                    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09"/>
              <w:gridCol w:w="2090"/>
              <w:gridCol w:w="2450"/>
              <w:gridCol w:w="16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809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9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45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169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bookmarkStart w:id="0" w:name="_GoBack" w:colFirst="0" w:colLast="3"/>
                  <w:r>
                    <w:rPr>
                      <w:rFonts w:hint="eastAsia"/>
                      <w:lang w:val="en-US" w:eastAsia="zh-CN"/>
                    </w:rPr>
                    <w:t>厂区发生火灾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2022年2月23日</w:t>
                  </w:r>
                </w:p>
              </w:tc>
              <w:tc>
                <w:tcPr>
                  <w:tcW w:w="2090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实际发生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演练</w:t>
                  </w:r>
                </w:p>
              </w:tc>
              <w:tc>
                <w:tcPr>
                  <w:tcW w:w="2450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消防应急响应预案</w:t>
                  </w:r>
                </w:p>
              </w:tc>
              <w:tc>
                <w:tcPr>
                  <w:tcW w:w="1694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意外伤害应急演习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2022年2月18日-20日</w:t>
                  </w:r>
                </w:p>
              </w:tc>
              <w:tc>
                <w:tcPr>
                  <w:tcW w:w="209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实际发生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演练</w:t>
                  </w:r>
                </w:p>
              </w:tc>
              <w:tc>
                <w:tcPr>
                  <w:tcW w:w="2450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意外事故应急响应预案</w:t>
                  </w:r>
                </w:p>
              </w:tc>
              <w:tc>
                <w:tcPr>
                  <w:tcW w:w="1694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演练有效</w:t>
                  </w:r>
                </w:p>
              </w:tc>
            </w:tr>
            <w:bookmarkEnd w:id="0"/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9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45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9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45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</w:pPr>
          </w:p>
          <w:p/>
        </w:tc>
        <w:tc>
          <w:tcPr>
            <w:tcW w:w="1585" w:type="dxa"/>
            <w:vMerge w:val="continue"/>
          </w:tcPr>
          <w:p/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3810" b="1016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JB+ETYAAAACwEAAA8AAAAAAAAAAQAgAAAAIgAAAGRycy9kb3ducmV2&#10;LnhtbFBLAQIUABQAAAAIAIdO4kDyJDd0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8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7"/>
      <w:suff w:val="nothing"/>
      <w:lvlText w:val="%1%2.%3.%4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ZWJiZGY2YjU2MmRhNjg4NDA1NWJhMzhhZTVmYzcifQ=="/>
  </w:docVars>
  <w:rsids>
    <w:rsidRoot w:val="009973B4"/>
    <w:rsid w:val="000237F6"/>
    <w:rsid w:val="0003373A"/>
    <w:rsid w:val="000400E2"/>
    <w:rsid w:val="00062E46"/>
    <w:rsid w:val="000E6B21"/>
    <w:rsid w:val="00183D5C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113B23"/>
    <w:rsid w:val="021E04B6"/>
    <w:rsid w:val="02203F02"/>
    <w:rsid w:val="0228580F"/>
    <w:rsid w:val="026A697D"/>
    <w:rsid w:val="028120F9"/>
    <w:rsid w:val="02C75A20"/>
    <w:rsid w:val="02DD5F42"/>
    <w:rsid w:val="03085664"/>
    <w:rsid w:val="03164457"/>
    <w:rsid w:val="0326784C"/>
    <w:rsid w:val="032F3C83"/>
    <w:rsid w:val="032F5195"/>
    <w:rsid w:val="03373FF4"/>
    <w:rsid w:val="03504EFA"/>
    <w:rsid w:val="035D4F91"/>
    <w:rsid w:val="036737B4"/>
    <w:rsid w:val="03A0688A"/>
    <w:rsid w:val="03A32F8E"/>
    <w:rsid w:val="03AC3D8E"/>
    <w:rsid w:val="03CE483E"/>
    <w:rsid w:val="03CF54E8"/>
    <w:rsid w:val="0405614C"/>
    <w:rsid w:val="040A269A"/>
    <w:rsid w:val="042332AF"/>
    <w:rsid w:val="044125D6"/>
    <w:rsid w:val="047A6FAA"/>
    <w:rsid w:val="04883DB3"/>
    <w:rsid w:val="04981EC9"/>
    <w:rsid w:val="04C420B7"/>
    <w:rsid w:val="050D3D1E"/>
    <w:rsid w:val="05422E8D"/>
    <w:rsid w:val="05505823"/>
    <w:rsid w:val="056577F0"/>
    <w:rsid w:val="056A75E8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6F516FA"/>
    <w:rsid w:val="06FA3125"/>
    <w:rsid w:val="0700448C"/>
    <w:rsid w:val="078B332B"/>
    <w:rsid w:val="07C13D29"/>
    <w:rsid w:val="07ED0401"/>
    <w:rsid w:val="081B6228"/>
    <w:rsid w:val="081F3AAC"/>
    <w:rsid w:val="08767210"/>
    <w:rsid w:val="0884117F"/>
    <w:rsid w:val="08851DD7"/>
    <w:rsid w:val="08957BCC"/>
    <w:rsid w:val="08A65A0B"/>
    <w:rsid w:val="08C22483"/>
    <w:rsid w:val="08ED1EE8"/>
    <w:rsid w:val="09005957"/>
    <w:rsid w:val="091B425F"/>
    <w:rsid w:val="09401E21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9876E2"/>
    <w:rsid w:val="0ABC216E"/>
    <w:rsid w:val="0AC7305D"/>
    <w:rsid w:val="0ACA6ED2"/>
    <w:rsid w:val="0AEF4D8D"/>
    <w:rsid w:val="0B0C5CAD"/>
    <w:rsid w:val="0B10795D"/>
    <w:rsid w:val="0B3A4AAA"/>
    <w:rsid w:val="0B736E2A"/>
    <w:rsid w:val="0BE64DFF"/>
    <w:rsid w:val="0BF862B1"/>
    <w:rsid w:val="0C466D6D"/>
    <w:rsid w:val="0C5423F7"/>
    <w:rsid w:val="0C8009B8"/>
    <w:rsid w:val="0C842FD4"/>
    <w:rsid w:val="0CC102DA"/>
    <w:rsid w:val="0CC85F41"/>
    <w:rsid w:val="0CD5463E"/>
    <w:rsid w:val="0CEB516B"/>
    <w:rsid w:val="0D021D9E"/>
    <w:rsid w:val="0D181113"/>
    <w:rsid w:val="0D1E4D9B"/>
    <w:rsid w:val="0D4D1326"/>
    <w:rsid w:val="0D682672"/>
    <w:rsid w:val="0D6A2C36"/>
    <w:rsid w:val="0D780A9A"/>
    <w:rsid w:val="0D7B34FF"/>
    <w:rsid w:val="0D8452A5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2316C5"/>
    <w:rsid w:val="0F86648B"/>
    <w:rsid w:val="0FBB3782"/>
    <w:rsid w:val="0FDE4D72"/>
    <w:rsid w:val="0FFA42BF"/>
    <w:rsid w:val="100911EE"/>
    <w:rsid w:val="100B6D7F"/>
    <w:rsid w:val="100D075A"/>
    <w:rsid w:val="106A3497"/>
    <w:rsid w:val="108219C2"/>
    <w:rsid w:val="10991918"/>
    <w:rsid w:val="10A120FB"/>
    <w:rsid w:val="10AB5B5F"/>
    <w:rsid w:val="10B56B71"/>
    <w:rsid w:val="10C112A0"/>
    <w:rsid w:val="10C11C69"/>
    <w:rsid w:val="10C25B35"/>
    <w:rsid w:val="10C54500"/>
    <w:rsid w:val="10D61701"/>
    <w:rsid w:val="10DD2E35"/>
    <w:rsid w:val="110345D0"/>
    <w:rsid w:val="113330AF"/>
    <w:rsid w:val="113F6014"/>
    <w:rsid w:val="11536201"/>
    <w:rsid w:val="115D3DB9"/>
    <w:rsid w:val="117904D1"/>
    <w:rsid w:val="11BD2BE2"/>
    <w:rsid w:val="11BE2038"/>
    <w:rsid w:val="11C40475"/>
    <w:rsid w:val="11CD73E1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5DD042A"/>
    <w:rsid w:val="15E02CEB"/>
    <w:rsid w:val="160D3D01"/>
    <w:rsid w:val="16210B83"/>
    <w:rsid w:val="16583F2B"/>
    <w:rsid w:val="165E2DB5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0758B8"/>
    <w:rsid w:val="193C2BA0"/>
    <w:rsid w:val="19444428"/>
    <w:rsid w:val="19553BF7"/>
    <w:rsid w:val="197008AF"/>
    <w:rsid w:val="19746F33"/>
    <w:rsid w:val="197E61C1"/>
    <w:rsid w:val="198F29B9"/>
    <w:rsid w:val="19D74BC7"/>
    <w:rsid w:val="19DE4928"/>
    <w:rsid w:val="19FD49DB"/>
    <w:rsid w:val="1A041A8F"/>
    <w:rsid w:val="1A0822F2"/>
    <w:rsid w:val="1A546A4C"/>
    <w:rsid w:val="1A6C3FF9"/>
    <w:rsid w:val="1A996190"/>
    <w:rsid w:val="1AAE68F5"/>
    <w:rsid w:val="1AAF33A8"/>
    <w:rsid w:val="1AB42370"/>
    <w:rsid w:val="1ACF1254"/>
    <w:rsid w:val="1AED5B63"/>
    <w:rsid w:val="1B281F5C"/>
    <w:rsid w:val="1B462375"/>
    <w:rsid w:val="1B5E3B97"/>
    <w:rsid w:val="1B6B0728"/>
    <w:rsid w:val="1BBF5C04"/>
    <w:rsid w:val="1C392A3A"/>
    <w:rsid w:val="1C683E38"/>
    <w:rsid w:val="1CB1322F"/>
    <w:rsid w:val="1CB51621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AD036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0F232A3"/>
    <w:rsid w:val="21A07B88"/>
    <w:rsid w:val="21A34258"/>
    <w:rsid w:val="21D24208"/>
    <w:rsid w:val="226B2F60"/>
    <w:rsid w:val="227B5AC7"/>
    <w:rsid w:val="22813299"/>
    <w:rsid w:val="229F2D1A"/>
    <w:rsid w:val="23363714"/>
    <w:rsid w:val="23461CA8"/>
    <w:rsid w:val="238A1BAA"/>
    <w:rsid w:val="23900E62"/>
    <w:rsid w:val="239C1861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4FF596D"/>
    <w:rsid w:val="2519537A"/>
    <w:rsid w:val="252E4B6C"/>
    <w:rsid w:val="25391377"/>
    <w:rsid w:val="258041F6"/>
    <w:rsid w:val="25853959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331C5C"/>
    <w:rsid w:val="27443F4D"/>
    <w:rsid w:val="27471DBC"/>
    <w:rsid w:val="27487DA0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6B53B5"/>
    <w:rsid w:val="28736D78"/>
    <w:rsid w:val="2892323E"/>
    <w:rsid w:val="289361DE"/>
    <w:rsid w:val="28C3395C"/>
    <w:rsid w:val="291C5E47"/>
    <w:rsid w:val="293E1857"/>
    <w:rsid w:val="29513E8D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A00560"/>
    <w:rsid w:val="2BD60481"/>
    <w:rsid w:val="2BEA3FA7"/>
    <w:rsid w:val="2C2E44D4"/>
    <w:rsid w:val="2C7B6C71"/>
    <w:rsid w:val="2CE67CB5"/>
    <w:rsid w:val="2CFF5FB6"/>
    <w:rsid w:val="2D095658"/>
    <w:rsid w:val="2D357F0D"/>
    <w:rsid w:val="2D4E604F"/>
    <w:rsid w:val="2D5C2AB0"/>
    <w:rsid w:val="2D7A20E6"/>
    <w:rsid w:val="2D7B66E3"/>
    <w:rsid w:val="2D8B3A57"/>
    <w:rsid w:val="2D913577"/>
    <w:rsid w:val="2D930B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7C614A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30128F"/>
    <w:rsid w:val="31675B01"/>
    <w:rsid w:val="31980216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46443A"/>
    <w:rsid w:val="33562A0D"/>
    <w:rsid w:val="335C55FD"/>
    <w:rsid w:val="33715F28"/>
    <w:rsid w:val="33C65FCE"/>
    <w:rsid w:val="33F07155"/>
    <w:rsid w:val="340C6245"/>
    <w:rsid w:val="34113C74"/>
    <w:rsid w:val="343C4522"/>
    <w:rsid w:val="34763B6D"/>
    <w:rsid w:val="347A0336"/>
    <w:rsid w:val="348376B7"/>
    <w:rsid w:val="34F92D63"/>
    <w:rsid w:val="3545030D"/>
    <w:rsid w:val="35527F1F"/>
    <w:rsid w:val="356E7CA4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0E0B2A"/>
    <w:rsid w:val="3A3E0D9F"/>
    <w:rsid w:val="3A5573DE"/>
    <w:rsid w:val="3A734128"/>
    <w:rsid w:val="3AAB1306"/>
    <w:rsid w:val="3ABB3480"/>
    <w:rsid w:val="3ABD0173"/>
    <w:rsid w:val="3AC172FF"/>
    <w:rsid w:val="3ACE23E2"/>
    <w:rsid w:val="3AEC3267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24558C"/>
    <w:rsid w:val="3DAB460B"/>
    <w:rsid w:val="3DDA7DB2"/>
    <w:rsid w:val="3E342793"/>
    <w:rsid w:val="3E3C5235"/>
    <w:rsid w:val="3EA34B57"/>
    <w:rsid w:val="3ED12579"/>
    <w:rsid w:val="3EDD2B90"/>
    <w:rsid w:val="3EE3221D"/>
    <w:rsid w:val="3EEF1E6E"/>
    <w:rsid w:val="3F532B3A"/>
    <w:rsid w:val="3F654598"/>
    <w:rsid w:val="3F8E03C8"/>
    <w:rsid w:val="3FA434FD"/>
    <w:rsid w:val="3FB850F1"/>
    <w:rsid w:val="3FC72695"/>
    <w:rsid w:val="3FD70A70"/>
    <w:rsid w:val="403F19EE"/>
    <w:rsid w:val="404047B5"/>
    <w:rsid w:val="404F3BBA"/>
    <w:rsid w:val="40571F31"/>
    <w:rsid w:val="40760623"/>
    <w:rsid w:val="408B7234"/>
    <w:rsid w:val="409D6F53"/>
    <w:rsid w:val="40E27AF7"/>
    <w:rsid w:val="40F80D82"/>
    <w:rsid w:val="41342A6B"/>
    <w:rsid w:val="414C7183"/>
    <w:rsid w:val="41523250"/>
    <w:rsid w:val="418D501C"/>
    <w:rsid w:val="41B61D9B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BF734E"/>
    <w:rsid w:val="432A5E11"/>
    <w:rsid w:val="433B1167"/>
    <w:rsid w:val="4352128B"/>
    <w:rsid w:val="435F500F"/>
    <w:rsid w:val="43C730CD"/>
    <w:rsid w:val="44350F69"/>
    <w:rsid w:val="44A567F5"/>
    <w:rsid w:val="45237F18"/>
    <w:rsid w:val="453B1EBC"/>
    <w:rsid w:val="45635AEC"/>
    <w:rsid w:val="45BA54FA"/>
    <w:rsid w:val="45C810D7"/>
    <w:rsid w:val="45E17109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194E74"/>
    <w:rsid w:val="48262DE5"/>
    <w:rsid w:val="48ED577E"/>
    <w:rsid w:val="494E6F4C"/>
    <w:rsid w:val="495D1E4B"/>
    <w:rsid w:val="49912790"/>
    <w:rsid w:val="499E2087"/>
    <w:rsid w:val="49C0281D"/>
    <w:rsid w:val="49E14879"/>
    <w:rsid w:val="49E3211A"/>
    <w:rsid w:val="49E449BF"/>
    <w:rsid w:val="49EC77B8"/>
    <w:rsid w:val="49ED5B1C"/>
    <w:rsid w:val="49F46C27"/>
    <w:rsid w:val="4A3057A3"/>
    <w:rsid w:val="4AD45EF1"/>
    <w:rsid w:val="4AE04A18"/>
    <w:rsid w:val="4B337454"/>
    <w:rsid w:val="4B407CC6"/>
    <w:rsid w:val="4B42232B"/>
    <w:rsid w:val="4B464D61"/>
    <w:rsid w:val="4B825A76"/>
    <w:rsid w:val="4B8B3702"/>
    <w:rsid w:val="4B9B0D7E"/>
    <w:rsid w:val="4BC83B65"/>
    <w:rsid w:val="4C075A47"/>
    <w:rsid w:val="4C0C3B65"/>
    <w:rsid w:val="4C204239"/>
    <w:rsid w:val="4C247C80"/>
    <w:rsid w:val="4CA74E41"/>
    <w:rsid w:val="4CA91B51"/>
    <w:rsid w:val="4CB62537"/>
    <w:rsid w:val="4CD2365B"/>
    <w:rsid w:val="4D2562F4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BB3EBF"/>
    <w:rsid w:val="4F594843"/>
    <w:rsid w:val="4F88590D"/>
    <w:rsid w:val="503C3BCC"/>
    <w:rsid w:val="507C26C1"/>
    <w:rsid w:val="50804466"/>
    <w:rsid w:val="50C41CF1"/>
    <w:rsid w:val="51217DA6"/>
    <w:rsid w:val="51294703"/>
    <w:rsid w:val="51425A27"/>
    <w:rsid w:val="5158757E"/>
    <w:rsid w:val="51642DA6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70F9D"/>
    <w:rsid w:val="53DB2F56"/>
    <w:rsid w:val="53F51637"/>
    <w:rsid w:val="54124FEF"/>
    <w:rsid w:val="541C4B67"/>
    <w:rsid w:val="54E7536E"/>
    <w:rsid w:val="550429BE"/>
    <w:rsid w:val="552A2893"/>
    <w:rsid w:val="55436287"/>
    <w:rsid w:val="556B045B"/>
    <w:rsid w:val="557D4E77"/>
    <w:rsid w:val="558F533E"/>
    <w:rsid w:val="55C375DD"/>
    <w:rsid w:val="56026B10"/>
    <w:rsid w:val="56156439"/>
    <w:rsid w:val="56270CFC"/>
    <w:rsid w:val="563A02F6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2C648F"/>
    <w:rsid w:val="58584813"/>
    <w:rsid w:val="58B728A2"/>
    <w:rsid w:val="58B868EB"/>
    <w:rsid w:val="58CD6892"/>
    <w:rsid w:val="58CE1CB7"/>
    <w:rsid w:val="58D46744"/>
    <w:rsid w:val="590D059A"/>
    <w:rsid w:val="59161F0B"/>
    <w:rsid w:val="592802C2"/>
    <w:rsid w:val="5953202C"/>
    <w:rsid w:val="5968271A"/>
    <w:rsid w:val="5978735A"/>
    <w:rsid w:val="59963397"/>
    <w:rsid w:val="59BE0FBF"/>
    <w:rsid w:val="59C225AF"/>
    <w:rsid w:val="59E42114"/>
    <w:rsid w:val="59E710C8"/>
    <w:rsid w:val="59EF09F5"/>
    <w:rsid w:val="5A0D1ED3"/>
    <w:rsid w:val="5A1C59A1"/>
    <w:rsid w:val="5A407674"/>
    <w:rsid w:val="5A432974"/>
    <w:rsid w:val="5A67161C"/>
    <w:rsid w:val="5A6A20C5"/>
    <w:rsid w:val="5A6C2417"/>
    <w:rsid w:val="5A8A4CE8"/>
    <w:rsid w:val="5AD64AF2"/>
    <w:rsid w:val="5AF377C8"/>
    <w:rsid w:val="5AF525A3"/>
    <w:rsid w:val="5AF97A41"/>
    <w:rsid w:val="5B0449BC"/>
    <w:rsid w:val="5B513157"/>
    <w:rsid w:val="5B517209"/>
    <w:rsid w:val="5B544EB3"/>
    <w:rsid w:val="5B6A33DD"/>
    <w:rsid w:val="5B7C5AEB"/>
    <w:rsid w:val="5BA75CC0"/>
    <w:rsid w:val="5BF04FFA"/>
    <w:rsid w:val="5C241AEE"/>
    <w:rsid w:val="5C4D2649"/>
    <w:rsid w:val="5C8D6CFF"/>
    <w:rsid w:val="5C966EB6"/>
    <w:rsid w:val="5C9808B2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3162C0"/>
    <w:rsid w:val="5F551AC0"/>
    <w:rsid w:val="5F616E2A"/>
    <w:rsid w:val="5FCC65B3"/>
    <w:rsid w:val="5FE015B4"/>
    <w:rsid w:val="6018182B"/>
    <w:rsid w:val="601E0F43"/>
    <w:rsid w:val="60250281"/>
    <w:rsid w:val="604E6EEE"/>
    <w:rsid w:val="60596F8D"/>
    <w:rsid w:val="608075E1"/>
    <w:rsid w:val="60E47C4C"/>
    <w:rsid w:val="61326FB1"/>
    <w:rsid w:val="61384C31"/>
    <w:rsid w:val="6151193F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153C43"/>
    <w:rsid w:val="632045D1"/>
    <w:rsid w:val="632C13B4"/>
    <w:rsid w:val="6342544F"/>
    <w:rsid w:val="63720424"/>
    <w:rsid w:val="63A31ABC"/>
    <w:rsid w:val="63C65078"/>
    <w:rsid w:val="63EA156F"/>
    <w:rsid w:val="63EA6D88"/>
    <w:rsid w:val="64106CE7"/>
    <w:rsid w:val="64471AFC"/>
    <w:rsid w:val="64621F9C"/>
    <w:rsid w:val="64A41F12"/>
    <w:rsid w:val="64A537DD"/>
    <w:rsid w:val="64B51DAE"/>
    <w:rsid w:val="64B96E85"/>
    <w:rsid w:val="64BB6795"/>
    <w:rsid w:val="64D069A0"/>
    <w:rsid w:val="64F27E75"/>
    <w:rsid w:val="65067C78"/>
    <w:rsid w:val="65305A43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52E55"/>
    <w:rsid w:val="675A3B6C"/>
    <w:rsid w:val="678B4DA6"/>
    <w:rsid w:val="67AF7DB6"/>
    <w:rsid w:val="67ED59D2"/>
    <w:rsid w:val="67ED5C78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6D3E06"/>
    <w:rsid w:val="69B35A0D"/>
    <w:rsid w:val="69CA05FB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D82AE5"/>
    <w:rsid w:val="6BF66D35"/>
    <w:rsid w:val="6C1272FC"/>
    <w:rsid w:val="6C3014BE"/>
    <w:rsid w:val="6C5D414F"/>
    <w:rsid w:val="6C77423E"/>
    <w:rsid w:val="6C943419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20821"/>
    <w:rsid w:val="6EB36C33"/>
    <w:rsid w:val="6EB55D09"/>
    <w:rsid w:val="6EBD0EA6"/>
    <w:rsid w:val="6F2E7208"/>
    <w:rsid w:val="6F430414"/>
    <w:rsid w:val="6F435405"/>
    <w:rsid w:val="6F4810D8"/>
    <w:rsid w:val="6F6D2BAA"/>
    <w:rsid w:val="6F9A4A47"/>
    <w:rsid w:val="6FDC792B"/>
    <w:rsid w:val="701710D0"/>
    <w:rsid w:val="702520EE"/>
    <w:rsid w:val="702547C4"/>
    <w:rsid w:val="703777AC"/>
    <w:rsid w:val="70795456"/>
    <w:rsid w:val="709946EC"/>
    <w:rsid w:val="71180D95"/>
    <w:rsid w:val="71B20425"/>
    <w:rsid w:val="724D262A"/>
    <w:rsid w:val="72702455"/>
    <w:rsid w:val="728F2E47"/>
    <w:rsid w:val="72973011"/>
    <w:rsid w:val="72A24472"/>
    <w:rsid w:val="72CD6505"/>
    <w:rsid w:val="72E42D1B"/>
    <w:rsid w:val="730C52E1"/>
    <w:rsid w:val="734F0911"/>
    <w:rsid w:val="736054C4"/>
    <w:rsid w:val="736B3914"/>
    <w:rsid w:val="736C572D"/>
    <w:rsid w:val="7380456B"/>
    <w:rsid w:val="7386292E"/>
    <w:rsid w:val="73A422EB"/>
    <w:rsid w:val="73C80EF6"/>
    <w:rsid w:val="74103E55"/>
    <w:rsid w:val="74456E15"/>
    <w:rsid w:val="745B622A"/>
    <w:rsid w:val="753E2D2E"/>
    <w:rsid w:val="753F2F7D"/>
    <w:rsid w:val="757D4B9C"/>
    <w:rsid w:val="75B40EC2"/>
    <w:rsid w:val="75C1632C"/>
    <w:rsid w:val="75DA6644"/>
    <w:rsid w:val="75DB13A5"/>
    <w:rsid w:val="75E552E3"/>
    <w:rsid w:val="76286C3F"/>
    <w:rsid w:val="7648538B"/>
    <w:rsid w:val="76531223"/>
    <w:rsid w:val="76BD747C"/>
    <w:rsid w:val="76C7686A"/>
    <w:rsid w:val="76CD52EB"/>
    <w:rsid w:val="76FE004A"/>
    <w:rsid w:val="770413F5"/>
    <w:rsid w:val="778C5BD9"/>
    <w:rsid w:val="77A268F6"/>
    <w:rsid w:val="77A519A7"/>
    <w:rsid w:val="77B415CE"/>
    <w:rsid w:val="77CC3658"/>
    <w:rsid w:val="77E26A35"/>
    <w:rsid w:val="77F2561D"/>
    <w:rsid w:val="780F54C3"/>
    <w:rsid w:val="782C6CF7"/>
    <w:rsid w:val="78644FBF"/>
    <w:rsid w:val="78680ECD"/>
    <w:rsid w:val="787F150D"/>
    <w:rsid w:val="787F4828"/>
    <w:rsid w:val="7880670B"/>
    <w:rsid w:val="78887263"/>
    <w:rsid w:val="78956590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66876"/>
    <w:rsid w:val="7BCF2874"/>
    <w:rsid w:val="7C0471A6"/>
    <w:rsid w:val="7C090682"/>
    <w:rsid w:val="7C42064D"/>
    <w:rsid w:val="7C6A6CA8"/>
    <w:rsid w:val="7C884FFE"/>
    <w:rsid w:val="7CB31FBB"/>
    <w:rsid w:val="7CB938A2"/>
    <w:rsid w:val="7CE14EDD"/>
    <w:rsid w:val="7CF04E00"/>
    <w:rsid w:val="7D180F86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C35D7C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三级条标题"/>
    <w:basedOn w:val="17"/>
    <w:next w:val="15"/>
    <w:qFormat/>
    <w:uiPriority w:val="0"/>
    <w:pPr>
      <w:numPr>
        <w:ilvl w:val="4"/>
        <w:numId w:val="1"/>
      </w:numPr>
      <w:outlineLvl w:val="4"/>
    </w:pPr>
  </w:style>
  <w:style w:type="paragraph" w:customStyle="1" w:styleId="17">
    <w:name w:val="二级条标题"/>
    <w:basedOn w:val="18"/>
    <w:next w:val="15"/>
    <w:qFormat/>
    <w:uiPriority w:val="0"/>
    <w:pPr>
      <w:numPr>
        <w:ilvl w:val="3"/>
        <w:numId w:val="1"/>
      </w:numPr>
      <w:outlineLvl w:val="3"/>
    </w:pPr>
  </w:style>
  <w:style w:type="paragraph" w:customStyle="1" w:styleId="18">
    <w:name w:val="一级条标题"/>
    <w:next w:val="15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2869</Words>
  <Characters>3058</Characters>
  <Lines>1</Lines>
  <Paragraphs>1</Paragraphs>
  <TotalTime>0</TotalTime>
  <ScaleCrop>false</ScaleCrop>
  <LinksUpToDate>false</LinksUpToDate>
  <CharactersWithSpaces>3544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2022-08-03T11:43:02Z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2CEB02BC5A84439A81491ABE3E7BEEA7</vt:lpwstr>
  </property>
</Properties>
</file>