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3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972"/>
        <w:gridCol w:w="799"/>
        <w:gridCol w:w="810"/>
        <w:gridCol w:w="9589"/>
        <w:gridCol w:w="1129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9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邓伟莉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张占平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799" w:type="dxa"/>
            <w:vMerge w:val="continue"/>
            <w:shd w:val="clear" w:color="auto" w:fill="auto"/>
            <w:vAlign w:val="center"/>
          </w:tcPr>
          <w:p/>
        </w:tc>
        <w:tc>
          <w:tcPr>
            <w:tcW w:w="10399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审核日期：2022-0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799" w:type="dxa"/>
            <w:vMerge w:val="continue"/>
            <w:shd w:val="clear" w:color="auto" w:fill="auto"/>
            <w:vAlign w:val="center"/>
          </w:tcPr>
          <w:p/>
        </w:tc>
        <w:tc>
          <w:tcPr>
            <w:tcW w:w="10399" w:type="dxa"/>
            <w:gridSpan w:val="2"/>
            <w:shd w:val="clear" w:color="auto" w:fill="auto"/>
            <w:vAlign w:val="center"/>
          </w:tcPr>
          <w:p>
            <w:pPr>
              <w:pStyle w:val="12"/>
              <w:rPr>
                <w:szCs w:val="21"/>
              </w:rPr>
            </w:pPr>
            <w:r>
              <w:rPr>
                <w:rFonts w:hint="eastAsia"/>
              </w:rPr>
              <w:t>审核条款：FSMS:5.3/6.2/7.1.3/7.1.4/8.2/8.3/8.4/8.5.4.5</w:t>
            </w:r>
            <w:r>
              <w:t>/</w:t>
            </w:r>
            <w:r>
              <w:rPr>
                <w:rFonts w:hint="eastAsia"/>
                <w:szCs w:val="21"/>
              </w:rPr>
              <w:t>8.9.5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pPr>
              <w:pStyle w:val="12"/>
            </w:pPr>
            <w:r>
              <w:rPr>
                <w:rFonts w:hint="eastAsia"/>
              </w:rPr>
              <w:t>主要负责按照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客户订单安排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；基础设施和工作环境管理、</w:t>
            </w:r>
            <w:r>
              <w:rPr>
                <w:rFonts w:hint="eastAsia"/>
                <w:lang w:val="en-US" w:eastAsia="zh-CN"/>
              </w:rPr>
              <w:t>特种设备管理</w:t>
            </w:r>
            <w:r>
              <w:rPr>
                <w:rFonts w:hint="eastAsia"/>
              </w:rPr>
              <w:t>、负责组织产品追溯、产品召回、危害控制计划的实施、纠偏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库房管理等工作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《食品安全目标考核结果统计》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抽取本部门食品安全目标实现情况的评价，及其测量方法是：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1170"/>
              <w:gridCol w:w="2107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1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.0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4"/>
                    </w:rPr>
                    <w:t>-2022.0</w:t>
                  </w:r>
                  <w:r>
                    <w:rPr>
                      <w:rFonts w:ascii="宋体" w:hAnsi="宋体"/>
                      <w:szCs w:val="24"/>
                    </w:rPr>
                    <w:t>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生产订单完成及时率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及时完成批次数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生产总批次×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100% 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产品合格率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检验合格批次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生产总批次×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重大食品安全事故为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按照实际发生次数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进货入库检验合格率≥98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进货检验合格数量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进货总数量×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21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目标完成，202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>7</w:t>
            </w:r>
            <w:r>
              <w:rPr>
                <w:rFonts w:hint="eastAsia"/>
                <w:u w:val="single"/>
              </w:rPr>
              <w:t>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前提方案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《设备设施管理程序》</w:t>
            </w:r>
          </w:p>
          <w:p/>
        </w:tc>
        <w:tc>
          <w:tcPr>
            <w:tcW w:w="11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pPr>
              <w:ind w:left="1470" w:hanging="1470" w:hangingChars="70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</w:t>
            </w:r>
            <w:r>
              <w:rPr>
                <w:rFonts w:hint="eastAsia"/>
                <w:lang w:val="en-US" w:eastAsia="zh-CN"/>
              </w:rPr>
              <w:t>设施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检验设备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见质检部审核记录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车辆</w:t>
            </w:r>
          </w:p>
          <w:p>
            <w:pPr>
              <w:pStyle w:val="12"/>
            </w:pPr>
          </w:p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</w:rPr>
              <w:t>查看对设备采购的控制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查看对设备维保的控制；</w:t>
            </w:r>
            <w:r>
              <w:rPr>
                <w:rFonts w:hint="eastAsia"/>
                <w:color w:val="0000FF"/>
              </w:rPr>
              <w:t>提供了《食品生产主要设备、设施》</w:t>
            </w:r>
            <w:r>
              <w:rPr>
                <w:rFonts w:hint="eastAsia"/>
                <w:color w:val="0000FF"/>
                <w:lang w:eastAsia="zh-CN"/>
              </w:rPr>
              <w:t>、《设备维修保养计划》，</w:t>
            </w:r>
            <w:r>
              <w:rPr>
                <w:rFonts w:hint="eastAsia"/>
                <w:color w:val="0000FF"/>
                <w:lang w:val="en-US" w:eastAsia="zh-CN"/>
              </w:rPr>
              <w:t>随机抽取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2406"/>
              <w:gridCol w:w="1210"/>
              <w:gridCol w:w="1920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2406" w:type="dxa"/>
                </w:tcPr>
                <w:p>
                  <w:r>
                    <w:rPr>
                      <w:rFonts w:hint="eastAsia"/>
                    </w:rPr>
                    <w:t>维保设施</w:t>
                  </w:r>
                </w:p>
              </w:tc>
              <w:tc>
                <w:tcPr>
                  <w:tcW w:w="1210" w:type="dxa"/>
                </w:tcPr>
                <w:p>
                  <w:r>
                    <w:rPr>
                      <w:rFonts w:hint="eastAsia"/>
                    </w:rPr>
                    <w:t>维保时间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维保周期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选果机</w:t>
                  </w:r>
                </w:p>
              </w:tc>
              <w:tc>
                <w:tcPr>
                  <w:tcW w:w="12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全面清理、维护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洗果煮果打浆一体机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全面清理、维护</w:t>
                  </w:r>
                </w:p>
              </w:tc>
              <w:tc>
                <w:tcPr>
                  <w:tcW w:w="21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高位搅拌罐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全面清理、维护</w:t>
                  </w:r>
                </w:p>
              </w:tc>
              <w:tc>
                <w:tcPr>
                  <w:tcW w:w="21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枕式包装机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全面清理、维护</w:t>
                  </w:r>
                </w:p>
              </w:tc>
              <w:tc>
                <w:tcPr>
                  <w:tcW w:w="21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二次烤房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default" w:ascii="Calibri" w:hAnsi="Calibri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导热管全面清理、维护</w:t>
                  </w:r>
                </w:p>
              </w:tc>
              <w:tc>
                <w:tcPr>
                  <w:tcW w:w="212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0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切料机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刀具等全面清理、维护</w:t>
                  </w:r>
                </w:p>
              </w:tc>
              <w:tc>
                <w:tcPr>
                  <w:tcW w:w="21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半年1次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10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9"/>
              <w:gridCol w:w="1090"/>
              <w:gridCol w:w="1362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79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09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36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79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生产设备维护与保养记录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洗果机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2022-04-19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eastAsia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更换皮带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  <w:color w:val="0000FF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79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生产设备维护与保养记录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eastAsia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包装机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2022-05-05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更换电子眼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79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设备完好情况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>
            <w:pPr>
              <w:pStyle w:val="12"/>
              <w:rPr>
                <w:rFonts w:hint="eastAsia"/>
              </w:rPr>
            </w:pPr>
          </w:p>
          <w:p>
            <w:r>
              <w:rPr>
                <w:rFonts w:hint="eastAsia"/>
              </w:rPr>
              <w:t>特种设备控制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907"/>
              <w:gridCol w:w="1837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90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83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907" w:type="dxa"/>
                </w:tcPr>
                <w:p>
                  <w:r>
                    <w:rPr>
                      <w:rFonts w:hint="eastAsia"/>
                    </w:rPr>
                    <w:t>319030619189</w:t>
                  </w:r>
                </w:p>
              </w:tc>
              <w:tc>
                <w:tcPr>
                  <w:tcW w:w="183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冀特NCJJ1420210108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 xml:space="preserve">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3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锅炉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外检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DZL4-1.25-S</w:t>
                  </w:r>
                </w:p>
              </w:tc>
              <w:tc>
                <w:tcPr>
                  <w:tcW w:w="183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冀特GLWJ142021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00270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hint="eastAsia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锅炉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内检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9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DZL4-1.25-S</w:t>
                  </w:r>
                </w:p>
              </w:tc>
              <w:tc>
                <w:tcPr>
                  <w:tcW w:w="183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冀特GLNJ142021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00188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锅冀YSY0022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3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3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37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9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37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12"/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5"/>
              <w:gridCol w:w="960"/>
              <w:gridCol w:w="1950"/>
              <w:gridCol w:w="1460"/>
              <w:gridCol w:w="175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35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/>
              </w:tc>
              <w:tc>
                <w:tcPr>
                  <w:tcW w:w="1460" w:type="dxa"/>
                  <w:shd w:val="clear" w:color="auto" w:fill="auto"/>
                </w:tcPr>
                <w:p/>
              </w:tc>
              <w:tc>
                <w:tcPr>
                  <w:tcW w:w="175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435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460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435" w:type="dxa"/>
                  <w:gridSpan w:val="2"/>
                  <w:vMerge w:val="continue"/>
                </w:tcPr>
                <w:p/>
              </w:tc>
              <w:tc>
                <w:tcPr>
                  <w:tcW w:w="1950" w:type="dxa"/>
                </w:tcPr>
                <w:p/>
              </w:tc>
              <w:tc>
                <w:tcPr>
                  <w:tcW w:w="14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435" w:type="dxa"/>
                  <w:gridSpan w:val="2"/>
                  <w:vMerge w:val="continue"/>
                </w:tcPr>
                <w:p/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加机油、开关等检查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435" w:type="dxa"/>
                  <w:gridSpan w:val="2"/>
                  <w:vMerge w:val="continue"/>
                </w:tcPr>
                <w:p/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5" w:type="dxa"/>
                  <w:gridSpan w:val="2"/>
                  <w:vMerge w:val="restart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外包（电梯）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供方名称：</w:t>
                  </w:r>
                </w:p>
              </w:tc>
              <w:tc>
                <w:tcPr>
                  <w:tcW w:w="1460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5" w:type="dxa"/>
                  <w:gridSpan w:val="2"/>
                  <w:vMerge w:val="continue"/>
                </w:tcPr>
                <w:p/>
              </w:tc>
              <w:tc>
                <w:tcPr>
                  <w:tcW w:w="1950" w:type="dxa"/>
                </w:tcPr>
                <w:p/>
              </w:tc>
              <w:tc>
                <w:tcPr>
                  <w:tcW w:w="1460" w:type="dxa"/>
                </w:tcPr>
                <w:p/>
              </w:tc>
              <w:tc>
                <w:tcPr>
                  <w:tcW w:w="175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5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4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厂11冀H0013(21)</w:t>
                  </w:r>
                </w:p>
              </w:tc>
              <w:tc>
                <w:tcPr>
                  <w:tcW w:w="19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 xml:space="preserve">年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 xml:space="preserve"> 月  日</w:t>
                  </w:r>
                </w:p>
              </w:tc>
              <w:tc>
                <w:tcPr>
                  <w:tcW w:w="146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  <w:bookmarkStart w:id="0" w:name="_GoBack"/>
                  <w:bookmarkEnd w:id="0"/>
                </w:p>
              </w:tc>
              <w:tc>
                <w:tcPr>
                  <w:tcW w:w="1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DZL4-1.25-S</w:t>
                  </w: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24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7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5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5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3914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9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914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9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91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关心员工，建立良好的沟通取到，</w:t>
                  </w:r>
                  <w:r>
                    <w:rPr>
                      <w:rFonts w:hint="eastAsia"/>
                    </w:rPr>
                    <w:t>尊重员工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9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91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合理安排员工上班时间、不定期组织团建活动等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59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91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eastAsia="zh-CN"/>
                    </w:rPr>
                    <w:t>》、</w:t>
                  </w:r>
                  <w:r>
                    <w:rPr>
                      <w:rFonts w:hint="eastAsia"/>
                      <w:lang w:val="en-US" w:eastAsia="zh-CN"/>
                    </w:rPr>
                    <w:t>作业指导书等</w:t>
                  </w:r>
                  <w:r>
                    <w:rPr>
                      <w:rFonts w:hint="eastAsia"/>
                    </w:rPr>
                    <w:t>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公司位于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河北省</w:t>
            </w:r>
            <w:r>
              <w:rPr>
                <w:rFonts w:hint="eastAsia"/>
                <w:szCs w:val="21"/>
                <w:u w:val="single"/>
              </w:rPr>
              <w:t>承德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市</w:t>
            </w:r>
            <w:r>
              <w:rPr>
                <w:rFonts w:hint="eastAsia"/>
                <w:szCs w:val="21"/>
                <w:u w:val="single"/>
              </w:rPr>
              <w:t>鹰手营子矿区北马圈子镇金扇子112线国道东侧食品园区2号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，与注册地址一致。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与文件不一执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办公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楼1个，实验室1个；</w:t>
            </w:r>
            <w:r>
              <w:rPr>
                <w:rFonts w:hint="eastAsia"/>
                <w:u w:val="single"/>
                <w:lang w:val="en-US" w:eastAsia="zh-CN"/>
              </w:rPr>
              <w:t>生产加工车间</w:t>
            </w:r>
            <w:r>
              <w:rPr>
                <w:rFonts w:hint="eastAsia"/>
                <w:u w:val="single"/>
              </w:rPr>
              <w:t xml:space="preserve"> 1 个；冷</w:t>
            </w:r>
            <w:r>
              <w:rPr>
                <w:rFonts w:hint="eastAsia"/>
                <w:u w:val="single"/>
                <w:lang w:val="en-US" w:eastAsia="zh-CN"/>
              </w:rPr>
              <w:t>冻库2</w:t>
            </w:r>
            <w:r>
              <w:rPr>
                <w:rFonts w:hint="eastAsia"/>
                <w:u w:val="single"/>
              </w:rPr>
              <w:t>个；</w:t>
            </w:r>
            <w:r>
              <w:rPr>
                <w:rFonts w:hint="eastAsia"/>
                <w:u w:val="single"/>
                <w:lang w:val="en-US" w:eastAsia="zh-CN"/>
              </w:rPr>
              <w:t>常温库3个（含1个食品添加剂专库）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与平面图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基本</w:t>
            </w:r>
            <w:r>
              <w:rPr>
                <w:rFonts w:hint="eastAsia" w:ascii="宋体" w:hAnsi="宋体"/>
                <w:szCs w:val="21"/>
                <w:u w:val="single"/>
              </w:rPr>
              <w:t>一致。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山楂类果糕产品生产过程</w:t>
            </w:r>
            <w:r>
              <w:rPr>
                <w:rFonts w:hint="eastAsia" w:ascii="宋体" w:hAnsi="宋体"/>
                <w:szCs w:val="21"/>
                <w:u w:val="single"/>
              </w:rPr>
              <w:t>基本符合要求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>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</w:t>
            </w:r>
            <w:r>
              <w:rPr>
                <w:rFonts w:hint="eastAsia"/>
                <w:u w:val="single"/>
                <w:lang w:val="en-US" w:eastAsia="zh-CN"/>
              </w:rPr>
              <w:t>每年委托第三方进行检测，提供检测报告，见——食品安全小组审核记录；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能源主要是通过锅炉加热提供蒸汽，锅炉管控见7.1.3条款；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现场检查：在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生产车间配置有灭蝇灯、挡鼠板、捕鼠笼、黏鼠板，查看白砂糖库房安装的灭蝇灯不够干净，已与企业沟通，现场改进；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垃圾桶</w:t>
            </w:r>
            <w:r>
              <w:rPr>
                <w:rFonts w:hint="eastAsia"/>
                <w:u w:val="single"/>
                <w:lang w:val="en-US" w:eastAsia="zh-CN"/>
              </w:rPr>
              <w:t>带盖，每日完毕后清洁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生产加工污水经污水处理池处理后排入食品园区官网；</w:t>
            </w:r>
          </w:p>
          <w:p>
            <w:pPr>
              <w:pStyle w:val="1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提供有《虫鼠害检查记录》，每天进行1次，抽查2022-05月，无异常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2"/>
              <w:ind w:firstLine="23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设备主要以清洁为主</w:t>
            </w:r>
            <w:r>
              <w:rPr>
                <w:rFonts w:hint="eastAsia"/>
                <w:u w:val="single"/>
              </w:rPr>
              <w:t>，见7.1.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供销部</w:t>
            </w:r>
            <w:r>
              <w:rPr>
                <w:rFonts w:hint="eastAsia"/>
                <w:u w:val="single"/>
              </w:rPr>
              <w:t>7.1.6条款”审核记录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现场观察——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生产加工区、原料储存区，</w:t>
            </w:r>
            <w:r>
              <w:rPr>
                <w:rFonts w:hint="eastAsia" w:ascii="宋体" w:hAnsi="宋体"/>
                <w:szCs w:val="21"/>
                <w:u w:val="single"/>
              </w:rPr>
              <w:t>基本干净整洁、分区域存放分类整齐、灭火器完好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来料接收：</w:t>
            </w:r>
            <w:r>
              <w:rPr>
                <w:rFonts w:hint="eastAsia"/>
                <w:u w:val="single"/>
              </w:rPr>
              <w:t>见“8.9.2 条款”审核记录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储存：提供有《食品相关产品领用出库记录》（食品添加剂）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抽查食品添加剂胭脂红产品，出库日期2022-07-01日至2022-07-10日，领料人签字、保管员签字；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提供有《成品入库记录》；</w:t>
            </w:r>
          </w:p>
          <w:p>
            <w:pPr>
              <w:pStyle w:val="2"/>
              <w:ind w:left="0" w:leftChars="0" w:firstLine="210" w:firstLineChars="100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提供有《食品销售台账》，抽查2022-05-20日，山楂卷，购货者：王明军，有记录承运人信息；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提供有《车辆卫生保洁记录》，对车辆的清洁状况进行检查，合格后装车；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2"/>
              <w:ind w:left="0" w:leftChars="0" w:firstLine="210" w:firstLineChars="10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生产加工分：洗果间、打浆烘干间、凉放间、成型间、内包间、外包间，基本满足不交叉。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2"/>
              <w:ind w:left="0"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内包间、内包材区域主要通过每日工作结束清洁后，臭氧消毒；</w:t>
            </w:r>
          </w:p>
          <w:p>
            <w:pPr>
              <w:pStyle w:val="2"/>
              <w:ind w:left="0" w:firstLine="210" w:firstLineChars="100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设备主要以清洁为主，浆料储罐采用高温水压冲洗</w:t>
            </w:r>
            <w:r>
              <w:rPr>
                <w:rFonts w:hint="eastAsia"/>
                <w:u w:val="single"/>
                <w:lang w:eastAsia="zh-CN"/>
              </w:rPr>
              <w:t>；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场地每天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已清洁为主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提供有《每日卫生检查记录表》，抽查2022-04月-06月，检查人：陆少华；无异常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提供有《日常清洁消毒记录表》，每日进行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抽查2022-05月，检查人：刘玉平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办公室</w:t>
            </w:r>
            <w:r>
              <w:rPr>
                <w:rFonts w:hint="eastAsia"/>
                <w:u w:val="single"/>
              </w:rPr>
              <w:t>”7.2条款审核记录</w:t>
            </w:r>
            <w:r>
              <w:rPr>
                <w:rFonts w:hint="eastAsia"/>
              </w:rPr>
              <w:t>；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每日进行晨检，</w:t>
            </w:r>
            <w:r>
              <w:rPr>
                <w:rFonts w:hint="eastAsia"/>
                <w:u w:val="single"/>
                <w:lang w:val="en-US" w:eastAsia="zh-CN"/>
              </w:rPr>
              <w:t>提供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公司人员晨检记录</w:t>
            </w:r>
            <w:r>
              <w:rPr>
                <w:rFonts w:hint="eastAsia"/>
                <w:u w:val="single"/>
                <w:lang w:eastAsia="zh-CN"/>
              </w:rPr>
              <w:t>》，</w:t>
            </w:r>
            <w:r>
              <w:rPr>
                <w:rFonts w:hint="eastAsia"/>
                <w:u w:val="single"/>
                <w:lang w:val="en-US" w:eastAsia="zh-CN"/>
              </w:rPr>
              <w:t>抽查2022-04-05月，无异常；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询问对外来人员管理，</w:t>
            </w:r>
            <w:r>
              <w:rPr>
                <w:rFonts w:hint="eastAsia"/>
                <w:u w:val="single"/>
              </w:rPr>
              <w:t>进场前当地扫码（查健康码行程码），检查身体状况，无异常方可上岗，</w:t>
            </w:r>
            <w:r>
              <w:rPr>
                <w:rFonts w:hint="eastAsia"/>
                <w:u w:val="single"/>
                <w:lang w:val="en-US" w:eastAsia="zh-CN"/>
              </w:rPr>
              <w:t>进入车间专人带入，提供有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来访人员出入登记表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运输车辆出入登记表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12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外来人员身体的健康告知：口健康证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良好身体健康告知及声明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</w:t>
            </w:r>
            <w:r>
              <w:rPr>
                <w:rFonts w:hint="eastAsia"/>
                <w:u w:val="single"/>
                <w:lang w:val="en-US" w:eastAsia="zh-CN"/>
              </w:rPr>
              <w:t>山楂类果糕产品的生产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12"/>
              <w:ind w:firstLine="230" w:firstLineChars="100"/>
            </w:pPr>
            <w:r>
              <w:rPr>
                <w:rFonts w:hint="eastAsia"/>
                <w:u w:val="single"/>
              </w:rPr>
              <w:t>客户群体主要：</w:t>
            </w:r>
            <w:r>
              <w:rPr>
                <w:rFonts w:hint="eastAsia"/>
                <w:u w:val="single"/>
                <w:lang w:val="en-US" w:eastAsia="zh-CN"/>
              </w:rPr>
              <w:t>普通群众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13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8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t>标识和可追溯性</w:t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t>F8.3</w:t>
            </w:r>
          </w:p>
          <w:p/>
        </w:tc>
        <w:tc>
          <w:tcPr>
            <w:tcW w:w="810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</w:t>
            </w:r>
            <w:r>
              <w:rPr>
                <w:rFonts w:hint="eastAsia"/>
              </w:rPr>
              <w:t>8.3</w:t>
            </w:r>
            <w:r>
              <w:t>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《产品标识</w:t>
            </w:r>
            <w:r>
              <w:rPr>
                <w:rFonts w:hint="eastAsia"/>
                <w:lang w:val="en-US" w:eastAsia="zh-CN"/>
              </w:rPr>
              <w:t>和可追溯</w:t>
            </w:r>
            <w:r>
              <w:rPr>
                <w:rFonts w:hint="eastAsia"/>
              </w:rPr>
              <w:t>程序</w:t>
            </w:r>
            <w:r>
              <w:rPr>
                <w:szCs w:val="16"/>
              </w:rPr>
              <w:t>》</w:t>
            </w:r>
            <w:r>
              <w:t>、</w:t>
            </w:r>
            <w:r>
              <w:rPr>
                <w:rFonts w:hint="eastAsia"/>
              </w:rPr>
              <w:t>口</w:t>
            </w:r>
            <w:r>
              <w:t>《产品/服务提供控制程序》、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《产品留样制度》、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内外部沟通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129" w:type="dxa"/>
            <w:vMerge w:val="restart"/>
            <w:shd w:val="clear" w:color="auto" w:fill="auto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292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t>产品的检验状态标识：</w:t>
            </w:r>
            <w:r>
              <w:rPr/>
              <w:sym w:font="Wingdings" w:char="00A8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>不合格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  <w:r>
              <w:rPr>
                <w:rFonts w:hint="eastAsia"/>
              </w:rPr>
              <w:t>（不涉及）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FE"/>
            </w:r>
            <w:r>
              <w:t>其他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简易标识卡</w:t>
            </w:r>
          </w:p>
          <w:p/>
          <w:p>
            <w:r>
              <w:t xml:space="preserve">半成品的唯一性标识方式：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/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其他</w:t>
            </w:r>
          </w:p>
          <w:p>
            <w:pPr>
              <w:pStyle w:val="2"/>
            </w:pPr>
          </w:p>
          <w:p>
            <w:r>
              <w:t xml:space="preserve">组织于 </w:t>
            </w:r>
            <w:r>
              <w:rPr>
                <w:u w:val="single"/>
              </w:rPr>
              <w:t xml:space="preserve"> 2022</w:t>
            </w:r>
            <w:r>
              <w:t xml:space="preserve">年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t>日验证和测试可追溯性体系的有效性。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>市场抽查不合格</w:t>
            </w:r>
          </w:p>
          <w:tbl>
            <w:tblPr>
              <w:tblStyle w:val="10"/>
              <w:tblW w:w="91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0"/>
              <w:gridCol w:w="2195"/>
              <w:gridCol w:w="1058"/>
              <w:gridCol w:w="970"/>
              <w:gridCol w:w="933"/>
              <w:gridCol w:w="1048"/>
              <w:gridCol w:w="19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90" w:type="dxa"/>
                </w:tcPr>
                <w:p>
                  <w:r>
                    <w:t>产品批号</w:t>
                  </w:r>
                </w:p>
              </w:tc>
              <w:tc>
                <w:tcPr>
                  <w:tcW w:w="2195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058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97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933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1048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942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9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20220409</w:t>
                  </w:r>
                </w:p>
                <w:p/>
              </w:tc>
              <w:tc>
                <w:tcPr>
                  <w:tcW w:w="2195" w:type="dxa"/>
                </w:tcPr>
                <w:p>
                  <w:r>
                    <w:rPr>
                      <w:rFonts w:hint="eastAsia"/>
                    </w:rPr>
                    <w:t>承德食品药监局组织的食品安全监督抽查中，微生物超标。故召回该批产品。【模拟】</w:t>
                  </w:r>
                </w:p>
              </w:tc>
              <w:tc>
                <w:tcPr>
                  <w:tcW w:w="1058" w:type="dxa"/>
                </w:tcPr>
                <w:p>
                  <w:r>
                    <w:rPr>
                      <w:rFonts w:hint="eastAsia"/>
                    </w:rPr>
                    <w:t>20220409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未明确，已与企业沟通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未明确，已与企业沟通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未明确，已与企业沟通</w:t>
                  </w:r>
                </w:p>
              </w:tc>
              <w:tc>
                <w:tcPr>
                  <w:tcW w:w="194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生产100件，库存30件，发出70件，客户销售50件，召回未销售的20件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90" w:type="dxa"/>
                </w:tcPr>
                <w:p/>
              </w:tc>
              <w:tc>
                <w:tcPr>
                  <w:tcW w:w="2195" w:type="dxa"/>
                </w:tcPr>
                <w:p/>
              </w:tc>
              <w:tc>
                <w:tcPr>
                  <w:tcW w:w="1058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933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942" w:type="dxa"/>
                </w:tcPr>
                <w:p/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召回产品涉及追溯的原始记录未提供，已现场沟通；</w:t>
            </w:r>
          </w:p>
          <w:p>
            <w:pPr>
              <w:pStyle w:val="2"/>
            </w:pPr>
          </w:p>
          <w:p>
            <w:r>
              <w:t>可追溯性系统证据的保留期限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u w:val="single"/>
              </w:rPr>
              <w:t xml:space="preserve"> </w:t>
            </w:r>
            <w:r>
              <w:t xml:space="preserve">个月，至少包括产品的保质期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u w:val="single"/>
              </w:rPr>
              <w:t xml:space="preserve"> </w:t>
            </w:r>
            <w:r>
              <w:t>个月。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highlight w:val="none"/>
              </w:rPr>
              <w:t>产品留样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rFonts w:hint="eastAsia"/>
                <w:highlight w:val="none"/>
                <w:u w:val="single"/>
              </w:rPr>
              <w:t>提供了《留样记录》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规格</w:t>
                  </w:r>
                  <w:r>
                    <w:rPr>
                      <w:rFonts w:hint="eastAsia"/>
                      <w:highlight w:val="none"/>
                    </w:rPr>
                    <w:t>/分量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果丹皮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022.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05.22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山楂羹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022.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05.23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果皮丹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1*10kg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022.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06.11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千层山楂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1*5kg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022.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07.02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rFonts w:hint="eastAsia"/>
              </w:rPr>
            </w:pPr>
          </w:p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69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89" w:type="dxa"/>
            <w:shd w:val="clear" w:color="auto" w:fill="auto"/>
          </w:tcPr>
          <w:p>
            <w:pPr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白砂糖存放在托盘上；食品添加剂专用库房，上锁管理</w:t>
            </w:r>
          </w:p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按照生产流水线工艺进行，在内包间对待包装半成品有简单标识；</w:t>
            </w: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包装完毕后入成品库房</w:t>
            </w:r>
          </w:p>
          <w:p/>
          <w:p>
            <w:r>
              <w:t>在原材料库房的标识情况：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山楂存放在冷冻库中，现场查看库温-20.2℃，有《冷库运行记录》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>在半成品库房的标识情况：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有简单标识卡，标注生产日期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置于托盘上，分区存放</w:t>
            </w:r>
          </w:p>
          <w:p/>
        </w:tc>
        <w:tc>
          <w:tcPr>
            <w:tcW w:w="112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468" w:hRule="atLeast"/>
        </w:trPr>
        <w:tc>
          <w:tcPr>
            <w:tcW w:w="1972" w:type="dxa"/>
            <w:vMerge w:val="restart"/>
            <w:shd w:val="clear" w:color="auto" w:fill="auto"/>
          </w:tcPr>
          <w:p>
            <w:r>
              <w:t>应急预案</w:t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t>F8.4</w:t>
            </w:r>
          </w:p>
          <w:p/>
        </w:tc>
        <w:tc>
          <w:tcPr>
            <w:tcW w:w="810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t>如：</w:t>
            </w:r>
            <w:r>
              <w:rPr/>
              <w:sym w:font="Wingdings" w:char="00A8"/>
            </w:r>
            <w:r>
              <w:t>《应急准备和响应程序》、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FE"/>
            </w:r>
            <w:r>
              <w:t>《突发事件准备和响应控制程序》</w:t>
            </w:r>
          </w:p>
        </w:tc>
        <w:tc>
          <w:tcPr>
            <w:tcW w:w="112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18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FE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FE"/>
            </w:r>
            <w:r>
              <w:t xml:space="preserve">水的中断    </w:t>
            </w:r>
            <w:r>
              <w:rPr/>
              <w:sym w:font="Wingdings" w:char="00FE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t>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A8"/>
            </w:r>
            <w:r>
              <w:t>《应急准备和响应程序》、</w:t>
            </w:r>
            <w:r>
              <w:rPr/>
              <w:sym w:font="Wingdings" w:char="00FE"/>
            </w:r>
            <w:r>
              <w:t>《应急预案》、</w:t>
            </w:r>
            <w:r>
              <w:rPr/>
              <w:sym w:font="Wingdings" w:char="00FE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2022.3.18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</w:rPr>
                    <w:t>火灾应急演练202</w:t>
                  </w:r>
                  <w:r>
                    <w:rPr>
                      <w:color w:val="0000FF"/>
                    </w:rPr>
                    <w:t>2.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03.18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color w:val="0000FF"/>
                      <w:u w:val="single"/>
                    </w:rPr>
                    <w:t>火灾事故应急预案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口</w:t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口</w:t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演练结束后评审无需修改预案</w:t>
            </w:r>
            <w:r>
              <w:rPr>
                <w:u w:val="single"/>
              </w:rPr>
              <w:t xml:space="preserve">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12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671" w:hRule="atLeast"/>
        </w:trPr>
        <w:tc>
          <w:tcPr>
            <w:tcW w:w="1972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F8.5.4.5</w:t>
            </w:r>
          </w:p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12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487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危害控制计划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</w:tc>
        <w:tc>
          <w:tcPr>
            <w:tcW w:w="112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5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799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810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589" w:type="dxa"/>
            <w:shd w:val="clear" w:color="auto" w:fill="auto"/>
          </w:tcPr>
          <w:p>
            <w:r>
              <w:rPr>
                <w:rFonts w:hint="eastAsia"/>
              </w:rPr>
              <w:t>OPRP的实施情况：【见本部门</w:t>
            </w:r>
            <w:r>
              <w:t>8.5.4.5</w:t>
            </w:r>
            <w:r>
              <w:rPr>
                <w:rFonts w:hint="eastAsia"/>
              </w:rPr>
              <w:t>条款审核记录】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470"/>
              <w:gridCol w:w="2324"/>
              <w:gridCol w:w="2230"/>
              <w:gridCol w:w="8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行动准则</w:t>
                  </w:r>
                </w:p>
              </w:tc>
              <w:tc>
                <w:tcPr>
                  <w:tcW w:w="232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default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OPR2切料</w:t>
                  </w: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切料间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每次生产前开启一小时臭氧对环境进行消杀（自动设置，每天确认）</w:t>
                  </w:r>
                </w:p>
              </w:tc>
              <w:tc>
                <w:tcPr>
                  <w:tcW w:w="2324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臭氧机/紫外线运行记录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》，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抽查2022-06月，开启时间：19:00-20:00，无异常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臭氧设备运行良好，每晚切料结束后自动开启消杀（时间19:00-20:00）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default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OPRP3内包</w:t>
                  </w: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spacing w:line="220" w:lineRule="exact"/>
                    <w:rPr>
                      <w:rFonts w:hint="eastAsia" w:asciiTheme="minorEastAsia" w:hAnsiTheme="minorEastAsia"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  <w:lang w:val="en-US" w:eastAsia="zh-CN"/>
                    </w:rPr>
                    <w:t>内包间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每次生产前开启一小时臭氧对环境进行消杀；</w:t>
                  </w:r>
                  <w:r>
                    <w:rPr>
                      <w:rFonts w:hint="default" w:ascii="Times New Roman" w:hAnsi="Times New Roman" w:eastAsia="宋体" w:cs="Times New Roman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对内包材臭氧</w:t>
                  </w:r>
                  <w:r>
                    <w:rPr>
                      <w:rFonts w:hint="default" w:ascii="Times New Roman" w:hAnsi="Times New Roman" w:eastAsia="宋体" w:cs="Times New Roman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 xml:space="preserve">紫外线消杀 </w:t>
                  </w:r>
                  <w:r>
                    <w:rPr>
                      <w:rFonts w:hint="default" w:ascii="Times New Roman" w:hAnsi="Times New Roman" w:eastAsia="宋体" w:cs="Times New Roman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 xml:space="preserve">30min 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以上</w:t>
                  </w: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9"/>
                      <w:szCs w:val="19"/>
                      <w:lang w:val="en-US" w:eastAsia="zh-CN" w:bidi="ar"/>
                    </w:rPr>
                    <w:t>；</w:t>
                  </w:r>
                </w:p>
              </w:tc>
              <w:tc>
                <w:tcPr>
                  <w:tcW w:w="2324" w:type="dxa"/>
                  <w:vAlign w:val="center"/>
                </w:tcPr>
                <w:p>
                  <w:pPr>
                    <w:spacing w:line="240" w:lineRule="exact"/>
                    <w:rPr>
                      <w:rFonts w:hint="default"/>
                      <w:color w:val="0000FF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val="en-US" w:eastAsia="zh-CN"/>
                    </w:rPr>
                    <w:t>臭氧机/紫外线运行记录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eastAsia="zh-CN"/>
                    </w:rPr>
                    <w:t>》，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val="en-US" w:eastAsia="zh-CN"/>
                    </w:rPr>
                    <w:t>抽查2022-05-06月，开启时间：19:00-20:00，无异常；抽查内包材消毒记录，抽查2022-07-06日，消毒起止时间：05:00-05:30，无异常；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eastAsia="宋体"/>
                      <w:color w:val="0000FF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FF"/>
                      <w:szCs w:val="21"/>
                      <w:highlight w:val="none"/>
                      <w:lang w:val="en-US" w:eastAsia="zh-CN"/>
                    </w:rPr>
                    <w:t>臭氧设备运行良好，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val="en-US" w:eastAsia="zh-CN"/>
                    </w:rPr>
                    <w:t>内包材按照生产订单安排领料存放在内包间，每班次结束后，同内包间空气环境消杀同时进行，臭氧机自动开启消杀（</w:t>
                  </w:r>
                  <w:r>
                    <w:rPr>
                      <w:rFonts w:hint="eastAsia" w:asciiTheme="minorEastAsia" w:hAnsiTheme="minorEastAsia" w:eastAsiaTheme="minorEastAsia"/>
                      <w:color w:val="0000FF"/>
                      <w:szCs w:val="21"/>
                      <w:highlight w:val="none"/>
                      <w:lang w:val="en-US" w:eastAsia="zh-CN"/>
                    </w:rPr>
                    <w:t>时间19:00-20:00</w:t>
                  </w:r>
                  <w:r>
                    <w:rPr>
                      <w:rFonts w:hint="eastAsia"/>
                      <w:color w:val="0000FF"/>
                      <w:szCs w:val="21"/>
                      <w:highlight w:val="none"/>
                      <w:lang w:val="en-US" w:eastAsia="zh-CN"/>
                    </w:rPr>
                    <w:t>），内包材每班次早再次单独消毒0.5h，抽查记录2022-06月，无异常；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符合要求</w:t>
                  </w:r>
                </w:p>
              </w:tc>
            </w:tr>
          </w:tbl>
          <w:p>
            <w:pPr>
              <w:pStyle w:val="12"/>
            </w:pPr>
          </w:p>
          <w:p>
            <w:r>
              <w:rPr>
                <w:rFonts w:hint="eastAsia"/>
              </w:rPr>
              <w:t>CCP的实施情况：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7"/>
              <w:gridCol w:w="680"/>
              <w:gridCol w:w="1440"/>
              <w:gridCol w:w="3056"/>
              <w:gridCol w:w="1810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sz w:val="18"/>
                      <w:szCs w:val="18"/>
                    </w:rPr>
                    <w:t>值</w:t>
                  </w:r>
                </w:p>
              </w:tc>
              <w:tc>
                <w:tcPr>
                  <w:tcW w:w="305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  <w:lang w:val="en-US" w:eastAsia="zh-CN"/>
                    </w:rPr>
                    <w:t>CCP1配料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  <w:lang w:val="en-US" w:eastAsia="zh-CN"/>
                    </w:rPr>
                    <w:t>配料间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甜蜜素：≤8.0g/kg；焦亚硫酸钠≤0.35g/kg；山梨酸及其钾盐≤0.5g/kg；苯甲酸及其钠盐≤0.5g/kg；胭脂红及其铝色淀≤0.05g/kg；</w:t>
                  </w:r>
                </w:p>
              </w:tc>
              <w:tc>
                <w:tcPr>
                  <w:tcW w:w="3056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食品生产加工台账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1）抽查2022-07-16日，果丹皮，山梨酸钾：150g，焦亚硫酸钠：350g，甜蜜素：1000g，柠檬酸：150g，【山楂+白砂糖+麦芽糖合计重量1200kg】符合对应的食品添加剂的CL值要求；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2）抽查2022-07-08果丹皮，食品添加剂种类及添加量同2022-07-16日；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3）抽查2022-06-30日双色山楂卷，山梨酸钾240g，胭脂红10g（山楂+白糖合计980kg），符合对应的食品添加剂的CL值要求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2022-07-26日现场观察，食品添加剂库上锁管理，有出库台账，双人签字管理；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2022-07-23日双色山楂卷，山梨酸钾添加量：120g，胭脂红5g，（山楂+白糖合计490g）符合对应的食品添加剂CL值要求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  <w:vAlign w:val="center"/>
                </w:tcPr>
                <w:p>
                  <w:pPr>
                    <w:pStyle w:val="7"/>
                    <w:spacing w:line="360" w:lineRule="auto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highlight w:val="none"/>
                      <w:lang w:val="en-US" w:eastAsia="zh-CN"/>
                    </w:rPr>
                    <w:t>CCP2-1烘干</w:t>
                  </w:r>
                </w:p>
              </w:tc>
              <w:tc>
                <w:tcPr>
                  <w:tcW w:w="680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烘烤区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烘干温度60-75℃，时间6-15h</w:t>
                  </w:r>
                </w:p>
              </w:tc>
              <w:tc>
                <w:tcPr>
                  <w:tcW w:w="3056" w:type="dxa"/>
                </w:tcPr>
                <w:p>
                  <w:pPr>
                    <w:spacing w:line="240" w:lineRule="exac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抽查《烘烤记录》，2022-06-02日，烘烤温度：60℃，烘烤时间起止时间4:50-11:20，6.5h，符合CL值要求；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另抽查：2022-07-01日、2022-07-02日，结论同2022-06-02日</w:t>
                  </w:r>
                </w:p>
              </w:tc>
              <w:tc>
                <w:tcPr>
                  <w:tcW w:w="1810" w:type="dxa"/>
                </w:tcPr>
                <w:p>
                  <w:pPr>
                    <w:spacing w:line="240" w:lineRule="exac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现场温度：62℃，设备在运行中；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  <w:highlight w:val="yellow"/>
                    </w:rPr>
                  </w:pPr>
                  <w:r>
                    <w:rPr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  <w:vAlign w:val="center"/>
                </w:tcPr>
                <w:p>
                  <w:pPr>
                    <w:pStyle w:val="7"/>
                    <w:spacing w:line="360" w:lineRule="auto"/>
                    <w:rPr>
                      <w:rFonts w:hint="eastAsia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highlight w:val="none"/>
                      <w:lang w:val="en-US" w:eastAsia="zh-CN"/>
                    </w:rPr>
                    <w:t>CCP2-2 二次烘干</w:t>
                  </w:r>
                </w:p>
              </w:tc>
              <w:tc>
                <w:tcPr>
                  <w:tcW w:w="6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烘烤区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烘干温度50-55℃，时间1-3h</w:t>
                  </w:r>
                </w:p>
              </w:tc>
              <w:tc>
                <w:tcPr>
                  <w:tcW w:w="3056" w:type="dxa"/>
                </w:tcPr>
                <w:p>
                  <w:pPr>
                    <w:spacing w:line="240" w:lineRule="exac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抽查《烘烤记录》，2022-06-02日，烘烤温度：50-55℃（与企业沟通，实际控制蒸汽压力为3个压力情况下，温度在50-55℃内，已沟通），烘烤时间起止时间6:30-8:00，1.5h，符合CL值要求；</w:t>
                  </w:r>
                </w:p>
                <w:p>
                  <w:pPr>
                    <w:spacing w:line="240" w:lineRule="exact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另抽查：2022-06-01日、2022-07-19日、2022-07-20日，结论同2022-06-02，无异常</w:t>
                  </w:r>
                </w:p>
              </w:tc>
              <w:tc>
                <w:tcPr>
                  <w:tcW w:w="1810" w:type="dxa"/>
                </w:tcPr>
                <w:p>
                  <w:pPr>
                    <w:spacing w:line="240" w:lineRule="exac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现场审核时，在生产果丹皮类产品，设备运行正常；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  <w:highlight w:val="yellow"/>
                    </w:rPr>
                  </w:pPr>
                  <w:r>
                    <w:rPr>
                      <w:szCs w:val="21"/>
                    </w:rPr>
                    <w:t>符合要求</w:t>
                  </w:r>
                </w:p>
              </w:tc>
            </w:tr>
          </w:tbl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486" w:hRule="atLeast"/>
        </w:trPr>
        <w:tc>
          <w:tcPr>
            <w:tcW w:w="1972" w:type="dxa"/>
            <w:vMerge w:val="restart"/>
            <w:shd w:val="clear" w:color="auto" w:fill="auto"/>
          </w:tcPr>
          <w:p>
            <w:r>
              <w:t>撤回/召回</w:t>
            </w:r>
          </w:p>
          <w:p/>
        </w:tc>
        <w:tc>
          <w:tcPr>
            <w:tcW w:w="7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F8.9.5</w:t>
            </w:r>
          </w:p>
        </w:tc>
        <w:tc>
          <w:tcPr>
            <w:tcW w:w="810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589" w:type="dxa"/>
            <w:shd w:val="clear" w:color="auto" w:fill="auto"/>
          </w:tcPr>
          <w:p>
            <w:pPr>
              <w:spacing w:line="480" w:lineRule="exact"/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</w:t>
            </w:r>
            <w:r>
              <w:rPr>
                <w:rFonts w:hint="eastAsia"/>
                <w:lang w:val="en-US" w:eastAsia="zh-CN"/>
              </w:rPr>
              <w:t>和可</w:t>
            </w:r>
            <w:r>
              <w:rPr>
                <w:rFonts w:hint="eastAsia"/>
              </w:rPr>
              <w:t>追溯程序》、</w:t>
            </w:r>
            <w:r>
              <w:rPr/>
              <w:sym w:font="Wingdings" w:char="00FE"/>
            </w:r>
            <w:r>
              <w:t>《突发事件准备和响应控制程序》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撤回控制程序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12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5" w:type="dxa"/>
          <w:trHeight w:val="81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799" w:type="dxa"/>
            <w:vMerge w:val="continue"/>
            <w:shd w:val="clear" w:color="auto" w:fill="auto"/>
          </w:tcPr>
          <w:p/>
        </w:tc>
        <w:tc>
          <w:tcPr>
            <w:tcW w:w="810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589" w:type="dxa"/>
            <w:shd w:val="clear" w:color="auto" w:fill="auto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总经理或食品安全小组组长</w:t>
            </w:r>
            <w:r>
              <w:rPr>
                <w:u w:val="single"/>
              </w:rPr>
              <w:t xml:space="preserve">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8"/>
              <w:gridCol w:w="1166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58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8" w:type="dxa"/>
                  <w:shd w:val="clear" w:color="auto" w:fill="auto"/>
                </w:tcPr>
                <w:p>
                  <w:pPr>
                    <w:rPr>
                      <w:rFonts w:hint="eastAsia" w:eastAsia="宋体" w:asciiTheme="minorEastAsia" w:hAnsiTheme="minorEastAsia"/>
                      <w:szCs w:val="21"/>
                      <w:lang w:eastAsia="zh-CN"/>
                    </w:rPr>
                  </w:pPr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承德食品药监局组织的食品安全监督抽查中，微生物超标。故召回该批产品。【模拟】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已发送出的</w:t>
                  </w:r>
                  <w:r>
                    <w:rPr>
                      <w:rFonts w:hint="eastAsia"/>
                      <w:lang w:val="en-US" w:eastAsia="zh-CN"/>
                    </w:rPr>
                    <w:t>70件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生产100件，库存30件，发出70件，客户销售50件，召回未销售的20件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7"/>
              <w:rPr>
                <w:rFonts w:hint="eastAsia"/>
              </w:rPr>
            </w:pPr>
          </w:p>
          <w:p>
            <w:pPr>
              <w:ind w:left="840" w:hanging="840" w:hangingChars="400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能够确保完整、及时地撤回已被识别为潜在不安全的批次/批号产品</w:t>
            </w:r>
            <w:r>
              <w:rPr>
                <w:rFonts w:hint="eastAsia"/>
                <w:u w:val="single"/>
              </w:rPr>
              <w:t xml:space="preserve"> ；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产品撤回演练记录</w:t>
            </w:r>
            <w:r>
              <w:rPr>
                <w:rFonts w:hint="eastAsia"/>
              </w:rPr>
              <w:t>》，并向最高管理者报告，作为管理评审的输入。</w:t>
            </w:r>
          </w:p>
        </w:tc>
        <w:tc>
          <w:tcPr>
            <w:tcW w:w="1129" w:type="dxa"/>
            <w:vMerge w:val="continue"/>
            <w:shd w:val="clear" w:color="auto" w:fill="auto"/>
          </w:tcPr>
          <w:p/>
        </w:tc>
      </w:tr>
    </w:tbl>
    <w:p>
      <w:pPr>
        <w:pStyle w:val="7"/>
      </w:pPr>
    </w:p>
    <w:p>
      <w:pPr>
        <w:pStyle w:val="7"/>
      </w:pPr>
    </w:p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（05版）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（05版）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06DC1"/>
    <w:rsid w:val="0001443C"/>
    <w:rsid w:val="00015B8D"/>
    <w:rsid w:val="000237F6"/>
    <w:rsid w:val="0003373A"/>
    <w:rsid w:val="000400E2"/>
    <w:rsid w:val="000408BB"/>
    <w:rsid w:val="00055B86"/>
    <w:rsid w:val="00056EC5"/>
    <w:rsid w:val="00061009"/>
    <w:rsid w:val="00062E46"/>
    <w:rsid w:val="00095E8D"/>
    <w:rsid w:val="000A0A06"/>
    <w:rsid w:val="000A7A4F"/>
    <w:rsid w:val="000C63AA"/>
    <w:rsid w:val="000D20F8"/>
    <w:rsid w:val="000D224B"/>
    <w:rsid w:val="000E6B21"/>
    <w:rsid w:val="000F3456"/>
    <w:rsid w:val="001006A0"/>
    <w:rsid w:val="001044CD"/>
    <w:rsid w:val="001126B5"/>
    <w:rsid w:val="001217A2"/>
    <w:rsid w:val="001248BC"/>
    <w:rsid w:val="00183FE6"/>
    <w:rsid w:val="00184FC0"/>
    <w:rsid w:val="00194E77"/>
    <w:rsid w:val="001A2D7F"/>
    <w:rsid w:val="001B2050"/>
    <w:rsid w:val="001C21AB"/>
    <w:rsid w:val="001E707B"/>
    <w:rsid w:val="001E7278"/>
    <w:rsid w:val="001F0891"/>
    <w:rsid w:val="00222D0B"/>
    <w:rsid w:val="002233E3"/>
    <w:rsid w:val="00227D54"/>
    <w:rsid w:val="00240923"/>
    <w:rsid w:val="002501B0"/>
    <w:rsid w:val="0028527E"/>
    <w:rsid w:val="002939AD"/>
    <w:rsid w:val="002A0D8D"/>
    <w:rsid w:val="002C38FC"/>
    <w:rsid w:val="002C7D78"/>
    <w:rsid w:val="002D3F7E"/>
    <w:rsid w:val="002E2E53"/>
    <w:rsid w:val="002E6A7C"/>
    <w:rsid w:val="002F132F"/>
    <w:rsid w:val="002F799F"/>
    <w:rsid w:val="00314AF6"/>
    <w:rsid w:val="00337922"/>
    <w:rsid w:val="00340867"/>
    <w:rsid w:val="0034378D"/>
    <w:rsid w:val="00357163"/>
    <w:rsid w:val="00367453"/>
    <w:rsid w:val="003679D0"/>
    <w:rsid w:val="00374A2A"/>
    <w:rsid w:val="00380837"/>
    <w:rsid w:val="003A198A"/>
    <w:rsid w:val="003C3E51"/>
    <w:rsid w:val="003D5EDE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0521B"/>
    <w:rsid w:val="005310B8"/>
    <w:rsid w:val="00536930"/>
    <w:rsid w:val="0054737D"/>
    <w:rsid w:val="00553344"/>
    <w:rsid w:val="00561D55"/>
    <w:rsid w:val="00564E53"/>
    <w:rsid w:val="00573C4B"/>
    <w:rsid w:val="00574CBE"/>
    <w:rsid w:val="00586F0F"/>
    <w:rsid w:val="005A1049"/>
    <w:rsid w:val="005A2F49"/>
    <w:rsid w:val="005A34ED"/>
    <w:rsid w:val="005A740D"/>
    <w:rsid w:val="005B4176"/>
    <w:rsid w:val="005D43F2"/>
    <w:rsid w:val="005D5659"/>
    <w:rsid w:val="00600C20"/>
    <w:rsid w:val="00604303"/>
    <w:rsid w:val="00616335"/>
    <w:rsid w:val="00644FE2"/>
    <w:rsid w:val="00646DD8"/>
    <w:rsid w:val="00651695"/>
    <w:rsid w:val="00654D21"/>
    <w:rsid w:val="006658D4"/>
    <w:rsid w:val="0067640C"/>
    <w:rsid w:val="006849C2"/>
    <w:rsid w:val="00685619"/>
    <w:rsid w:val="006A0581"/>
    <w:rsid w:val="006A0DC8"/>
    <w:rsid w:val="006D27FB"/>
    <w:rsid w:val="006D366A"/>
    <w:rsid w:val="006E678B"/>
    <w:rsid w:val="006E7B1D"/>
    <w:rsid w:val="006F1E68"/>
    <w:rsid w:val="006F7494"/>
    <w:rsid w:val="00703C05"/>
    <w:rsid w:val="00703CAB"/>
    <w:rsid w:val="007100C5"/>
    <w:rsid w:val="00716307"/>
    <w:rsid w:val="00717AC5"/>
    <w:rsid w:val="007518B1"/>
    <w:rsid w:val="007623F4"/>
    <w:rsid w:val="007757F3"/>
    <w:rsid w:val="0077781F"/>
    <w:rsid w:val="00782468"/>
    <w:rsid w:val="007A7E4B"/>
    <w:rsid w:val="007C1B48"/>
    <w:rsid w:val="007C4026"/>
    <w:rsid w:val="007D754F"/>
    <w:rsid w:val="007E3B15"/>
    <w:rsid w:val="007E6AEB"/>
    <w:rsid w:val="007F0229"/>
    <w:rsid w:val="007F5732"/>
    <w:rsid w:val="0080278D"/>
    <w:rsid w:val="00804C14"/>
    <w:rsid w:val="008112B9"/>
    <w:rsid w:val="00826301"/>
    <w:rsid w:val="00833718"/>
    <w:rsid w:val="00851D2E"/>
    <w:rsid w:val="00861BC8"/>
    <w:rsid w:val="00885D9A"/>
    <w:rsid w:val="008973EE"/>
    <w:rsid w:val="008B3D0E"/>
    <w:rsid w:val="008C2E51"/>
    <w:rsid w:val="008D53B2"/>
    <w:rsid w:val="008E08FF"/>
    <w:rsid w:val="008E5F7A"/>
    <w:rsid w:val="00914199"/>
    <w:rsid w:val="00942C7F"/>
    <w:rsid w:val="00947553"/>
    <w:rsid w:val="00950526"/>
    <w:rsid w:val="009520C9"/>
    <w:rsid w:val="009526E3"/>
    <w:rsid w:val="0095369D"/>
    <w:rsid w:val="00971600"/>
    <w:rsid w:val="00987ECD"/>
    <w:rsid w:val="00994F95"/>
    <w:rsid w:val="009973B4"/>
    <w:rsid w:val="009A3CCF"/>
    <w:rsid w:val="009A56FF"/>
    <w:rsid w:val="009C150D"/>
    <w:rsid w:val="009C28C1"/>
    <w:rsid w:val="009C5907"/>
    <w:rsid w:val="009D769B"/>
    <w:rsid w:val="009E1B5D"/>
    <w:rsid w:val="009F2E34"/>
    <w:rsid w:val="009F5828"/>
    <w:rsid w:val="009F7EED"/>
    <w:rsid w:val="00A03FC1"/>
    <w:rsid w:val="00A418B9"/>
    <w:rsid w:val="00A45DD7"/>
    <w:rsid w:val="00A6095D"/>
    <w:rsid w:val="00A72D49"/>
    <w:rsid w:val="00A74782"/>
    <w:rsid w:val="00A7479B"/>
    <w:rsid w:val="00A805C6"/>
    <w:rsid w:val="00A80636"/>
    <w:rsid w:val="00A92E71"/>
    <w:rsid w:val="00A97A3E"/>
    <w:rsid w:val="00AA1FC2"/>
    <w:rsid w:val="00AB4D21"/>
    <w:rsid w:val="00AC0189"/>
    <w:rsid w:val="00AE46F3"/>
    <w:rsid w:val="00AE6811"/>
    <w:rsid w:val="00AF0AAB"/>
    <w:rsid w:val="00AF55C5"/>
    <w:rsid w:val="00B02D6D"/>
    <w:rsid w:val="00B22AA9"/>
    <w:rsid w:val="00B27ECA"/>
    <w:rsid w:val="00B313DF"/>
    <w:rsid w:val="00B53E2E"/>
    <w:rsid w:val="00B7308A"/>
    <w:rsid w:val="00B748A5"/>
    <w:rsid w:val="00B97FE0"/>
    <w:rsid w:val="00BA30B9"/>
    <w:rsid w:val="00BA522C"/>
    <w:rsid w:val="00BA7097"/>
    <w:rsid w:val="00BB5F10"/>
    <w:rsid w:val="00BC0700"/>
    <w:rsid w:val="00BC37FD"/>
    <w:rsid w:val="00BC5A91"/>
    <w:rsid w:val="00BD101A"/>
    <w:rsid w:val="00BD1E67"/>
    <w:rsid w:val="00BF55B4"/>
    <w:rsid w:val="00BF597E"/>
    <w:rsid w:val="00C04BB2"/>
    <w:rsid w:val="00C05957"/>
    <w:rsid w:val="00C33819"/>
    <w:rsid w:val="00C5013D"/>
    <w:rsid w:val="00C51A2D"/>
    <w:rsid w:val="00C51A36"/>
    <w:rsid w:val="00C5423E"/>
    <w:rsid w:val="00C55228"/>
    <w:rsid w:val="00C613B4"/>
    <w:rsid w:val="00C620CE"/>
    <w:rsid w:val="00C63768"/>
    <w:rsid w:val="00C77034"/>
    <w:rsid w:val="00C92147"/>
    <w:rsid w:val="00CA2A67"/>
    <w:rsid w:val="00CD4D1A"/>
    <w:rsid w:val="00CE315A"/>
    <w:rsid w:val="00D01B81"/>
    <w:rsid w:val="00D053CA"/>
    <w:rsid w:val="00D06F59"/>
    <w:rsid w:val="00D15179"/>
    <w:rsid w:val="00D2018F"/>
    <w:rsid w:val="00D2672D"/>
    <w:rsid w:val="00D32A86"/>
    <w:rsid w:val="00D4379D"/>
    <w:rsid w:val="00D57F85"/>
    <w:rsid w:val="00D64001"/>
    <w:rsid w:val="00D8388C"/>
    <w:rsid w:val="00D856AC"/>
    <w:rsid w:val="00DA09E8"/>
    <w:rsid w:val="00DB65A8"/>
    <w:rsid w:val="00DC1D4B"/>
    <w:rsid w:val="00DD680C"/>
    <w:rsid w:val="00DD7961"/>
    <w:rsid w:val="00DD7D8E"/>
    <w:rsid w:val="00DE165D"/>
    <w:rsid w:val="00DE77A8"/>
    <w:rsid w:val="00DE7B56"/>
    <w:rsid w:val="00DF15F0"/>
    <w:rsid w:val="00DF3454"/>
    <w:rsid w:val="00E20DA4"/>
    <w:rsid w:val="00E246F6"/>
    <w:rsid w:val="00E373BF"/>
    <w:rsid w:val="00E42530"/>
    <w:rsid w:val="00E57243"/>
    <w:rsid w:val="00E6224C"/>
    <w:rsid w:val="00E64B91"/>
    <w:rsid w:val="00E67A0A"/>
    <w:rsid w:val="00E76D31"/>
    <w:rsid w:val="00E806B0"/>
    <w:rsid w:val="00E8323B"/>
    <w:rsid w:val="00E841C1"/>
    <w:rsid w:val="00E92A52"/>
    <w:rsid w:val="00E9431A"/>
    <w:rsid w:val="00E944B0"/>
    <w:rsid w:val="00E96C16"/>
    <w:rsid w:val="00E97582"/>
    <w:rsid w:val="00EA2256"/>
    <w:rsid w:val="00EA37D1"/>
    <w:rsid w:val="00EA536C"/>
    <w:rsid w:val="00EA636C"/>
    <w:rsid w:val="00EB0164"/>
    <w:rsid w:val="00EC1970"/>
    <w:rsid w:val="00EC6ECB"/>
    <w:rsid w:val="00ED0F62"/>
    <w:rsid w:val="00EE1ECB"/>
    <w:rsid w:val="00F121B1"/>
    <w:rsid w:val="00F140C1"/>
    <w:rsid w:val="00F16BD3"/>
    <w:rsid w:val="00F51DFC"/>
    <w:rsid w:val="00F74707"/>
    <w:rsid w:val="00F774D2"/>
    <w:rsid w:val="00F90479"/>
    <w:rsid w:val="00F9106B"/>
    <w:rsid w:val="00FB2ED1"/>
    <w:rsid w:val="00FD0EF9"/>
    <w:rsid w:val="00FE2DF7"/>
    <w:rsid w:val="00FE3497"/>
    <w:rsid w:val="00FF5826"/>
    <w:rsid w:val="00FF6370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1B518F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0C5F82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487840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821CC3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852CB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607B0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037E5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AF345D"/>
    <w:rsid w:val="3DB64BB3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17043C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891F2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2332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0D6671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2321</Words>
  <Characters>13230</Characters>
  <Lines>110</Lines>
  <Paragraphs>31</Paragraphs>
  <TotalTime>1</TotalTime>
  <ScaleCrop>false</ScaleCrop>
  <LinksUpToDate>false</LinksUpToDate>
  <CharactersWithSpaces>15520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2022-07-23T01:00:00Z</dcterms:created>
  <dc:creator>微软用户</dc:creator>
  <cp:lastModifiedBy>肖新龙</cp:lastModifiedBy>
  <dcterms:modified xsi:type="dcterms:W3CDTF">2022-07-26T07:42:41Z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1C8195619A0641A28BF3A8A44D6037B9</vt:lpwstr>
  </property>
</Properties>
</file>