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0938-2022-F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河北友楂食品有限公司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2022年07月25日 上午</w:t>
            </w:r>
            <w:r>
              <w:rPr>
                <w:rFonts w:hint="eastAsia" w:ascii="宋体"/>
                <w:b/>
                <w:color w:val="000000"/>
                <w:szCs w:val="21"/>
                <w:lang w:val="en-US" w:eastAsia="zh-CN"/>
              </w:rPr>
              <w:t>8:30</w:t>
            </w:r>
            <w:r>
              <w:rPr>
                <w:rFonts w:hint="eastAsia" w:ascii="宋体"/>
                <w:b/>
                <w:color w:val="000000"/>
                <w:szCs w:val="21"/>
              </w:rPr>
              <w:t>至2022年07月25日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431" w:type="dxa"/>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CIV-7</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2020-N1FSMS-3011923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河北友楂食品有限公司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承德鹰手营子矿区北马圈子镇金扇子112线国道东侧食品园区2号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067000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hint="eastAsia" w:ascii="宋体"/>
                <w:b/>
                <w:color w:val="000000"/>
                <w:szCs w:val="21"/>
                <w:lang w:val="en-US" w:eastAsia="zh-CN"/>
              </w:rPr>
              <w:t>河北省</w:t>
            </w:r>
            <w:r>
              <w:rPr>
                <w:rFonts w:ascii="宋体"/>
                <w:b/>
                <w:color w:val="000000"/>
                <w:szCs w:val="21"/>
              </w:rPr>
              <w:t>承德</w:t>
            </w:r>
            <w:r>
              <w:rPr>
                <w:rFonts w:hint="eastAsia" w:ascii="宋体"/>
                <w:b/>
                <w:color w:val="000000"/>
                <w:szCs w:val="21"/>
                <w:lang w:val="en-US" w:eastAsia="zh-CN"/>
              </w:rPr>
              <w:t>市</w:t>
            </w:r>
            <w:r>
              <w:rPr>
                <w:rFonts w:ascii="宋体"/>
                <w:b/>
                <w:color w:val="000000"/>
                <w:szCs w:val="21"/>
              </w:rPr>
              <w:t>鹰手营子矿区北马圈子镇金扇子112线国道东侧食品园区2号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067000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张占平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19931057555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刘宝</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bookmarkStart w:id="34" w:name="管理者代表"/>
            <w:r>
              <w:rPr>
                <w:rFonts w:ascii="宋体"/>
                <w:b/>
                <w:color w:val="000000"/>
                <w:szCs w:val="21"/>
              </w:rPr>
              <w:t>张占平</w:t>
            </w:r>
            <w:bookmarkEnd w:id="34"/>
            <w:r>
              <w:rPr>
                <w:rFonts w:hint="eastAsia" w:ascii="宋体"/>
                <w:b/>
                <w:color w:val="000000"/>
                <w:szCs w:val="21"/>
                <w:lang w:eastAsia="zh-CN"/>
              </w:rPr>
              <w:t>【</w:t>
            </w:r>
            <w:r>
              <w:rPr>
                <w:rFonts w:hint="eastAsia" w:ascii="宋体"/>
                <w:b/>
                <w:color w:val="000000"/>
                <w:szCs w:val="21"/>
                <w:lang w:val="en-US" w:eastAsia="zh-CN"/>
              </w:rPr>
              <w:t>小组组长</w:t>
            </w:r>
            <w:r>
              <w:rPr>
                <w:rFonts w:hint="eastAsia" w:ascii="宋体"/>
                <w:b/>
                <w:color w:val="000000"/>
                <w:szCs w:val="21"/>
                <w:lang w:eastAsia="zh-CN"/>
              </w:rPr>
              <w:t>】</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5" w:name="联系人邮箱"/>
            <w:r>
              <w:rPr>
                <w:sz w:val="21"/>
                <w:szCs w:val="21"/>
              </w:rPr>
              <w:t>168577760@qq.com</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sz w:val="21"/>
                <w:szCs w:val="21"/>
              </w:rPr>
              <w:t>果糕类</w:t>
            </w:r>
            <w:r>
              <w:rPr>
                <w:rFonts w:hint="eastAsia"/>
                <w:sz w:val="21"/>
                <w:szCs w:val="21"/>
                <w:lang w:val="en-US" w:eastAsia="zh-CN"/>
              </w:rPr>
              <w:t>[</w:t>
            </w:r>
            <w:r>
              <w:rPr>
                <w:sz w:val="21"/>
                <w:szCs w:val="21"/>
              </w:rPr>
              <w:t>片类、条（果丹皮）类</w:t>
            </w:r>
            <w:r>
              <w:rPr>
                <w:rFonts w:hint="eastAsia"/>
                <w:sz w:val="21"/>
                <w:szCs w:val="21"/>
                <w:lang w:val="en-US" w:eastAsia="zh-CN"/>
              </w:rPr>
              <w:t>]</w:t>
            </w:r>
            <w:r>
              <w:rPr>
                <w:sz w:val="21"/>
                <w:szCs w:val="21"/>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8"/>
              <w:spacing w:line="360" w:lineRule="auto"/>
              <w:ind w:left="0" w:leftChars="0" w:firstLine="0" w:firstLineChars="0"/>
              <w:rPr>
                <w:rFonts w:ascii="宋体"/>
                <w:color w:val="000000"/>
                <w:szCs w:val="21"/>
              </w:rPr>
            </w:pPr>
            <w:r>
              <w:rPr>
                <w:rFonts w:hint="eastAsia"/>
                <w:color w:val="000000"/>
                <w:highlight w:val="none"/>
                <w:lang w:val="en-US" w:eastAsia="zh-CN"/>
              </w:rPr>
              <w:t>山楂验收→选果→洗果→煮果（配料）→打浆搅拌→刮片→烘干起片→切料→内包装→外包装→检验→装箱贮存→成品出厂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sz w:val="21"/>
                <w:szCs w:val="21"/>
              </w:rPr>
              <w:t>位于</w:t>
            </w:r>
            <w:r>
              <w:rPr>
                <w:rFonts w:hint="eastAsia"/>
                <w:sz w:val="21"/>
                <w:szCs w:val="21"/>
                <w:lang w:val="en-US" w:eastAsia="zh-CN"/>
              </w:rPr>
              <w:t>河北省</w:t>
            </w:r>
            <w:r>
              <w:rPr>
                <w:sz w:val="21"/>
                <w:szCs w:val="21"/>
              </w:rPr>
              <w:t>承德</w:t>
            </w:r>
            <w:r>
              <w:rPr>
                <w:rFonts w:hint="eastAsia"/>
                <w:sz w:val="21"/>
                <w:szCs w:val="21"/>
                <w:lang w:val="en-US" w:eastAsia="zh-CN"/>
              </w:rPr>
              <w:t>市</w:t>
            </w:r>
            <w:r>
              <w:rPr>
                <w:sz w:val="21"/>
                <w:szCs w:val="21"/>
              </w:rPr>
              <w:t>鹰手营子矿区北马圈子镇金扇子112线国道东侧食品园区2号</w:t>
            </w:r>
            <w:r>
              <w:rPr>
                <w:rFonts w:hint="eastAsia"/>
                <w:sz w:val="21"/>
                <w:szCs w:val="21"/>
                <w:lang w:val="en-US" w:eastAsia="zh-CN"/>
              </w:rPr>
              <w:t>河北友楂食品有限公司</w:t>
            </w:r>
            <w:r>
              <w:rPr>
                <w:sz w:val="21"/>
                <w:szCs w:val="21"/>
              </w:rPr>
              <w:t>生产车间的</w:t>
            </w:r>
            <w:r>
              <w:rPr>
                <w:rFonts w:hint="eastAsia"/>
                <w:sz w:val="21"/>
                <w:szCs w:val="21"/>
                <w:lang w:val="en-US" w:eastAsia="zh-CN"/>
              </w:rPr>
              <w:t>山楂</w:t>
            </w:r>
            <w:r>
              <w:rPr>
                <w:sz w:val="21"/>
                <w:szCs w:val="21"/>
              </w:rPr>
              <w:t>果糕类</w:t>
            </w:r>
            <w:r>
              <w:rPr>
                <w:rFonts w:hint="eastAsia"/>
                <w:sz w:val="21"/>
                <w:szCs w:val="21"/>
                <w:lang w:val="en-US" w:eastAsia="zh-CN"/>
              </w:rPr>
              <w:t>产品</w:t>
            </w:r>
            <w:r>
              <w:rPr>
                <w:sz w:val="21"/>
                <w:szCs w:val="21"/>
              </w:rPr>
              <w:t>的生产</w:t>
            </w:r>
          </w:p>
        </w:tc>
        <w:tc>
          <w:tcPr>
            <w:tcW w:w="2006" w:type="dxa"/>
            <w:gridSpan w:val="3"/>
            <w:vAlign w:val="center"/>
          </w:tcPr>
          <w:p>
            <w:pPr>
              <w:spacing w:line="400" w:lineRule="exact"/>
              <w:rPr>
                <w:rFonts w:ascii="宋体" w:hAnsi="宋体"/>
                <w:b/>
                <w:color w:val="000000"/>
                <w:szCs w:val="21"/>
              </w:rPr>
            </w:pPr>
            <w:bookmarkStart w:id="36" w:name="专业代码"/>
            <w:r>
              <w:rPr>
                <w:sz w:val="21"/>
                <w:szCs w:val="21"/>
              </w:rPr>
              <w:t>CIV-7</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FF"/>
                <w:szCs w:val="21"/>
                <w:lang w:eastAsia="zh-CN"/>
              </w:rPr>
              <w:t>——</w:t>
            </w:r>
            <w:r>
              <w:rPr>
                <w:rFonts w:hint="eastAsia" w:ascii="宋体"/>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河北友楂食品有限公司</w:t>
            </w:r>
          </w:p>
          <w:p>
            <w:pPr>
              <w:pStyle w:val="8"/>
              <w:ind w:left="0" w:leftChars="0" w:firstLine="0" w:firstLineChars="0"/>
              <w:rPr>
                <w:lang w:val="de-DE" w:eastAsia="ja-JP"/>
              </w:rPr>
            </w:pPr>
            <w:r>
              <w:rPr>
                <w:sz w:val="21"/>
                <w:szCs w:val="21"/>
              </w:rPr>
              <w:t>承德鹰手营子矿区北马圈子镇金扇子112线国道东侧食品园区2号</w:t>
            </w:r>
          </w:p>
        </w:tc>
        <w:tc>
          <w:tcPr>
            <w:tcW w:w="2267" w:type="dxa"/>
          </w:tcPr>
          <w:p>
            <w:pPr>
              <w:spacing w:before="40" w:after="40"/>
              <w:rPr>
                <w:rFonts w:eastAsia="黑体"/>
                <w:szCs w:val="21"/>
                <w:lang w:val="de-DE" w:eastAsia="ja-JP"/>
              </w:rPr>
            </w:pPr>
            <w:r>
              <w:rPr>
                <w:rFonts w:hint="eastAsia"/>
                <w:sz w:val="21"/>
                <w:szCs w:val="21"/>
                <w:lang w:val="en-US" w:eastAsia="zh-CN"/>
              </w:rPr>
              <w:t>河北省</w:t>
            </w:r>
            <w:r>
              <w:rPr>
                <w:sz w:val="21"/>
                <w:szCs w:val="21"/>
              </w:rPr>
              <w:t>承德</w:t>
            </w:r>
            <w:r>
              <w:rPr>
                <w:rFonts w:hint="eastAsia"/>
                <w:sz w:val="21"/>
                <w:szCs w:val="21"/>
                <w:lang w:val="en-US" w:eastAsia="zh-CN"/>
              </w:rPr>
              <w:t>市</w:t>
            </w:r>
            <w:r>
              <w:rPr>
                <w:sz w:val="21"/>
                <w:szCs w:val="21"/>
              </w:rPr>
              <w:t>鹰手营子矿区北马圈子镇金扇子112线国道东侧食品园区2号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50人</w:t>
            </w:r>
          </w:p>
        </w:tc>
        <w:tc>
          <w:tcPr>
            <w:tcW w:w="2803" w:type="dxa"/>
            <w:vAlign w:val="center"/>
          </w:tcPr>
          <w:p>
            <w:pPr>
              <w:pStyle w:val="20"/>
              <w:rPr>
                <w:rFonts w:eastAsia="黑体" w:cs="Arial"/>
                <w:sz w:val="21"/>
                <w:szCs w:val="21"/>
                <w:lang w:val="en-US" w:eastAsia="ja-JP"/>
              </w:rPr>
            </w:pPr>
            <w:r>
              <w:rPr>
                <w:sz w:val="21"/>
                <w:szCs w:val="21"/>
              </w:rPr>
              <w:t>位于</w:t>
            </w:r>
            <w:r>
              <w:rPr>
                <w:rFonts w:hint="eastAsia"/>
                <w:sz w:val="21"/>
                <w:szCs w:val="21"/>
                <w:lang w:val="en-US" w:eastAsia="zh-CN"/>
              </w:rPr>
              <w:t>河北省</w:t>
            </w:r>
            <w:r>
              <w:rPr>
                <w:sz w:val="21"/>
                <w:szCs w:val="21"/>
              </w:rPr>
              <w:t>承德</w:t>
            </w:r>
            <w:r>
              <w:rPr>
                <w:rFonts w:hint="eastAsia"/>
                <w:sz w:val="21"/>
                <w:szCs w:val="21"/>
                <w:lang w:val="en-US" w:eastAsia="zh-CN"/>
              </w:rPr>
              <w:t>市</w:t>
            </w:r>
            <w:r>
              <w:rPr>
                <w:sz w:val="21"/>
                <w:szCs w:val="21"/>
              </w:rPr>
              <w:t>鹰手营子矿区北马圈子镇金扇子112线国道东侧食品园区2号</w:t>
            </w:r>
            <w:r>
              <w:rPr>
                <w:rFonts w:hint="eastAsia"/>
                <w:sz w:val="21"/>
                <w:szCs w:val="21"/>
                <w:lang w:val="en-US" w:eastAsia="zh-CN"/>
              </w:rPr>
              <w:t>河北友楂食品有限公司</w:t>
            </w:r>
            <w:r>
              <w:rPr>
                <w:sz w:val="21"/>
                <w:szCs w:val="21"/>
              </w:rPr>
              <w:t>生产车间的</w:t>
            </w:r>
            <w:r>
              <w:rPr>
                <w:rFonts w:hint="eastAsia"/>
                <w:sz w:val="21"/>
                <w:szCs w:val="21"/>
                <w:lang w:val="en-US" w:eastAsia="zh-CN"/>
              </w:rPr>
              <w:t>山楂</w:t>
            </w:r>
            <w:r>
              <w:rPr>
                <w:sz w:val="21"/>
                <w:szCs w:val="21"/>
              </w:rPr>
              <w:t>果糕类</w:t>
            </w:r>
            <w:r>
              <w:rPr>
                <w:rFonts w:hint="eastAsia"/>
                <w:sz w:val="21"/>
                <w:szCs w:val="21"/>
                <w:lang w:val="en-US" w:eastAsia="zh-CN"/>
              </w:rPr>
              <w:t>产品</w:t>
            </w:r>
            <w:r>
              <w:rPr>
                <w:sz w:val="21"/>
                <w:szCs w:val="21"/>
              </w:rPr>
              <w:t>的生产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default" w:ascii="宋体" w:eastAsia="宋体"/>
                <w:color w:val="000000"/>
                <w:spacing w:val="-10"/>
                <w:szCs w:val="21"/>
                <w:lang w:val="en-US"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FF"/>
                <w:spacing w:val="-10"/>
                <w:szCs w:val="21"/>
                <w:lang w:eastAsia="zh-CN"/>
              </w:rPr>
              <w:t>——</w:t>
            </w:r>
            <w:r>
              <w:rPr>
                <w:rFonts w:hint="eastAsia" w:ascii="宋体" w:hAnsi="宋体"/>
                <w:color w:val="0000FF"/>
                <w:spacing w:val="-10"/>
                <w:szCs w:val="21"/>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FF"/>
                <w:spacing w:val="-10"/>
                <w:szCs w:val="21"/>
                <w:lang w:eastAsia="zh-CN"/>
              </w:rPr>
              <w:t>——</w:t>
            </w:r>
            <w:r>
              <w:rPr>
                <w:rFonts w:hint="eastAsia" w:ascii="宋体" w:hAnsi="宋体"/>
                <w:color w:val="0000FF"/>
                <w:spacing w:val="-10"/>
                <w:szCs w:val="21"/>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2022年7月10日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73"/>
        <w:gridCol w:w="4490"/>
        <w:gridCol w:w="14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A3"/>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bCs/>
                <w:color w:val="auto"/>
                <w:sz w:val="20"/>
                <w:lang w:val="en-GB"/>
              </w:rPr>
              <w:t>成立了</w:t>
            </w:r>
            <w:r>
              <w:rPr>
                <w:rFonts w:hint="eastAsia" w:ascii="宋体" w:hAnsi="宋体"/>
                <w:bCs/>
                <w:color w:val="auto"/>
                <w:sz w:val="20"/>
              </w:rPr>
              <w:t>食品安全</w:t>
            </w:r>
            <w:r>
              <w:rPr>
                <w:rFonts w:hint="eastAsia" w:ascii="宋体" w:hAnsi="宋体"/>
                <w:bCs/>
                <w:color w:val="auto"/>
                <w:sz w:val="20"/>
                <w:lang w:val="en-GB"/>
              </w:rPr>
              <w:t>小组，进行了</w:t>
            </w:r>
            <w:r>
              <w:rPr>
                <w:rFonts w:hint="eastAsia" w:ascii="宋体" w:hAnsi="宋体"/>
                <w:bCs/>
                <w:color w:val="auto"/>
                <w:sz w:val="20"/>
              </w:rPr>
              <w:t>充分的</w:t>
            </w:r>
            <w:r>
              <w:rPr>
                <w:rFonts w:hint="eastAsia" w:ascii="宋体" w:hAnsi="宋体"/>
                <w:bCs/>
                <w:color w:val="auto"/>
                <w:sz w:val="20"/>
                <w:lang w:val="en-GB"/>
              </w:rPr>
              <w:t>食品安全危害分析</w:t>
            </w:r>
            <w:r>
              <w:rPr>
                <w:rFonts w:hint="eastAsia" w:ascii="宋体" w:hAnsi="宋体"/>
                <w:bCs/>
                <w:color w:val="auto"/>
                <w:sz w:val="20"/>
              </w:rPr>
              <w:t>和评估</w:t>
            </w:r>
          </w:p>
        </w:tc>
        <w:tc>
          <w:tcPr>
            <w:tcW w:w="1470" w:type="dxa"/>
            <w:shd w:val="clear" w:color="auto" w:fill="E6E0EC" w:themeFill="accent4" w:themeFillTint="32"/>
          </w:tcPr>
          <w:p>
            <w:pPr>
              <w:rPr>
                <w:rFonts w:hint="default" w:ascii="宋体" w:eastAsia="宋体"/>
                <w:color w:val="auto"/>
                <w:spacing w:val="-10"/>
                <w:szCs w:val="21"/>
                <w:lang w:val="en-US" w:eastAsia="zh-CN"/>
              </w:rPr>
            </w:pPr>
            <w:r>
              <w:rPr>
                <w:rFonts w:hint="eastAsia" w:ascii="宋体" w:hAnsi="宋体"/>
                <w:color w:val="auto"/>
                <w:spacing w:val="-10"/>
                <w:szCs w:val="21"/>
              </w:rPr>
              <w:t>☑</w:t>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auto"/>
                <w:spacing w:val="-10"/>
                <w:szCs w:val="21"/>
                <w:lang w:eastAsia="zh-CN"/>
              </w:rPr>
              <w:sym w:font="Wingdings 2" w:char="0052"/>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10</w:t>
            </w:r>
            <w:r>
              <w:rPr>
                <w:rFonts w:hint="eastAsia" w:ascii="宋体" w:hAnsi="宋体" w:eastAsia="宋体"/>
                <w:b w:val="0"/>
                <w:bCs/>
                <w:sz w:val="20"/>
                <w:highlight w:val="none"/>
                <w:lang w:val="en-GB" w:eastAsia="zh-CN"/>
              </w:rPr>
              <w:t>）企业是否组织了</w:t>
            </w:r>
            <w:r>
              <w:rPr>
                <w:rFonts w:hint="eastAsia" w:ascii="宋体" w:hAnsi="宋体" w:eastAsia="宋体"/>
                <w:b w:val="0"/>
                <w:bCs/>
                <w:sz w:val="20"/>
                <w:highlight w:val="none"/>
                <w:lang w:val="en-US" w:eastAsia="zh-CN"/>
              </w:rPr>
              <w:t>食品安全</w:t>
            </w:r>
            <w:r>
              <w:rPr>
                <w:rFonts w:hint="eastAsia" w:ascii="宋体" w:hAnsi="宋体" w:eastAsia="宋体"/>
                <w:b w:val="0"/>
                <w:bCs/>
                <w:sz w:val="20"/>
                <w:highlight w:val="none"/>
                <w:lang w:val="en-GB" w:eastAsia="zh-CN"/>
              </w:rPr>
              <w:t>知识的培训</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7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val="en-US" w:eastAsia="zh-CN"/>
              </w:rPr>
              <w:t>显著危害</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2"/>
              <w:spacing w:line="240" w:lineRule="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CCP1：配料</w:t>
            </w:r>
          </w:p>
          <w:p>
            <w:pPr>
              <w:keepNext w:val="0"/>
              <w:keepLines w:val="0"/>
              <w:widowControl/>
              <w:suppressLineNumbers w:val="0"/>
              <w:spacing w:line="240" w:lineRule="auto"/>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CCP</w:t>
            </w:r>
            <w:r>
              <w:rPr>
                <w:rFonts w:hint="eastAsia"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lang w:val="en-US" w:eastAsia="zh-CN"/>
              </w:rPr>
              <w:t>1：烘干</w:t>
            </w:r>
          </w:p>
          <w:p>
            <w:pPr>
              <w:keepNext w:val="0"/>
              <w:keepLines w:val="0"/>
              <w:widowControl/>
              <w:suppressLineNumbers w:val="0"/>
              <w:spacing w:line="240" w:lineRule="auto"/>
              <w:jc w:val="left"/>
              <w:rPr>
                <w:sz w:val="21"/>
                <w:szCs w:val="21"/>
              </w:rPr>
            </w:pPr>
            <w:r>
              <w:rPr>
                <w:rFonts w:hint="eastAsia" w:ascii="Times New Roman" w:hAnsi="Times New Roman" w:cs="Times New Roman"/>
                <w:sz w:val="21"/>
                <w:szCs w:val="21"/>
                <w:highlight w:val="none"/>
                <w:lang w:val="en-US" w:eastAsia="zh-CN"/>
              </w:rPr>
              <w:t>CCP2-2：</w:t>
            </w:r>
            <w:r>
              <w:rPr>
                <w:rFonts w:hint="eastAsia" w:ascii="宋体" w:hAnsi="宋体" w:eastAsia="宋体" w:cs="宋体"/>
                <w:color w:val="000000"/>
                <w:kern w:val="0"/>
                <w:sz w:val="21"/>
                <w:szCs w:val="21"/>
                <w:lang w:val="en-US" w:eastAsia="zh-CN" w:bidi="ar"/>
              </w:rPr>
              <w:t>二次烘干</w:t>
            </w:r>
          </w:p>
          <w:p>
            <w:pPr>
              <w:keepNext w:val="0"/>
              <w:keepLines w:val="0"/>
              <w:widowControl/>
              <w:suppressLineNumbers w:val="0"/>
              <w:jc w:val="left"/>
              <w:rPr>
                <w:rFonts w:hint="eastAsia" w:cs="Times New Roman"/>
                <w:color w:val="0000FF"/>
                <w:kern w:val="0"/>
                <w:sz w:val="21"/>
                <w:szCs w:val="21"/>
                <w:lang w:val="en-US" w:eastAsia="zh-CN" w:bidi="ar"/>
              </w:rPr>
            </w:pPr>
            <w:r>
              <w:rPr>
                <w:rFonts w:hint="default" w:ascii="Times New Roman" w:hAnsi="Times New Roman" w:eastAsia="宋体" w:cs="Times New Roman"/>
                <w:color w:val="0000FF"/>
                <w:kern w:val="0"/>
                <w:sz w:val="21"/>
                <w:szCs w:val="21"/>
                <w:lang w:val="en-US" w:eastAsia="zh-CN" w:bidi="ar"/>
              </w:rPr>
              <w:t>OPRP1-1</w:t>
            </w:r>
            <w:r>
              <w:rPr>
                <w:rFonts w:hint="eastAsia" w:cs="Times New Roman"/>
                <w:color w:val="0000FF"/>
                <w:kern w:val="0"/>
                <w:sz w:val="21"/>
                <w:szCs w:val="21"/>
                <w:lang w:val="en-US" w:eastAsia="zh-CN" w:bidi="ar"/>
              </w:rPr>
              <w:t>：山楂验收；</w:t>
            </w:r>
          </w:p>
          <w:p>
            <w:pPr>
              <w:keepNext w:val="0"/>
              <w:keepLines w:val="0"/>
              <w:widowControl/>
              <w:suppressLineNumbers w:val="0"/>
              <w:jc w:val="left"/>
              <w:rPr>
                <w:rFonts w:hint="default"/>
                <w:color w:val="0000FF"/>
                <w:sz w:val="21"/>
                <w:szCs w:val="21"/>
                <w:lang w:val="en-US"/>
              </w:rPr>
            </w:pPr>
            <w:r>
              <w:rPr>
                <w:rFonts w:hint="default" w:ascii="Times New Roman" w:hAnsi="Times New Roman" w:eastAsia="宋体" w:cs="Times New Roman"/>
                <w:color w:val="0000FF"/>
                <w:kern w:val="0"/>
                <w:sz w:val="21"/>
                <w:szCs w:val="21"/>
                <w:lang w:val="en-US" w:eastAsia="zh-CN" w:bidi="ar"/>
              </w:rPr>
              <w:t>OPRP1-</w:t>
            </w:r>
            <w:r>
              <w:rPr>
                <w:rFonts w:hint="eastAsia" w:ascii="Times New Roman" w:hAnsi="Times New Roman" w:eastAsia="宋体" w:cs="Times New Roman"/>
                <w:color w:val="0000FF"/>
                <w:kern w:val="0"/>
                <w:sz w:val="21"/>
                <w:szCs w:val="21"/>
                <w:lang w:val="en-US" w:eastAsia="zh-CN" w:bidi="ar"/>
              </w:rPr>
              <w:t>2</w:t>
            </w:r>
            <w:r>
              <w:rPr>
                <w:rFonts w:hint="eastAsia" w:cs="Times New Roman"/>
                <w:color w:val="0000FF"/>
                <w:kern w:val="0"/>
                <w:sz w:val="21"/>
                <w:szCs w:val="21"/>
                <w:lang w:val="en-US" w:eastAsia="zh-CN" w:bidi="ar"/>
              </w:rPr>
              <w:t>：内包验收；</w:t>
            </w:r>
          </w:p>
          <w:p>
            <w:pPr>
              <w:keepNext w:val="0"/>
              <w:keepLines w:val="0"/>
              <w:widowControl/>
              <w:suppressLineNumbers w:val="0"/>
              <w:jc w:val="left"/>
              <w:rPr>
                <w:rFonts w:hint="eastAsia" w:cs="Times New Roman"/>
                <w:color w:val="0000FF"/>
                <w:kern w:val="0"/>
                <w:sz w:val="21"/>
                <w:szCs w:val="21"/>
                <w:lang w:val="en-US" w:eastAsia="zh-CN" w:bidi="ar"/>
              </w:rPr>
            </w:pPr>
            <w:r>
              <w:rPr>
                <w:rFonts w:hint="default" w:ascii="Times New Roman" w:hAnsi="Times New Roman" w:eastAsia="宋体" w:cs="Times New Roman"/>
                <w:color w:val="0000FF"/>
                <w:kern w:val="0"/>
                <w:sz w:val="21"/>
                <w:szCs w:val="21"/>
                <w:lang w:val="en-US" w:eastAsia="zh-CN" w:bidi="ar"/>
              </w:rPr>
              <w:t>OPRP</w:t>
            </w:r>
            <w:r>
              <w:rPr>
                <w:rFonts w:hint="eastAsia" w:ascii="Times New Roman" w:hAnsi="Times New Roman" w:eastAsia="宋体" w:cs="Times New Roman"/>
                <w:color w:val="0000FF"/>
                <w:kern w:val="0"/>
                <w:sz w:val="21"/>
                <w:szCs w:val="21"/>
                <w:lang w:val="en-US" w:eastAsia="zh-CN" w:bidi="ar"/>
              </w:rPr>
              <w:t>2</w:t>
            </w:r>
            <w:r>
              <w:rPr>
                <w:rFonts w:hint="eastAsia" w:cs="Times New Roman"/>
                <w:color w:val="0000FF"/>
                <w:kern w:val="0"/>
                <w:sz w:val="21"/>
                <w:szCs w:val="21"/>
                <w:lang w:val="en-US" w:eastAsia="zh-CN" w:bidi="ar"/>
              </w:rPr>
              <w:t>：切料；</w:t>
            </w:r>
          </w:p>
          <w:p>
            <w:pPr>
              <w:keepNext w:val="0"/>
              <w:keepLines w:val="0"/>
              <w:widowControl/>
              <w:suppressLineNumbers w:val="0"/>
              <w:jc w:val="left"/>
              <w:rPr>
                <w:rFonts w:hint="default" w:ascii="Times New Roman" w:hAnsi="Times New Roman" w:cs="Times New Roman"/>
                <w:highlight w:val="none"/>
                <w:lang w:val="en-US" w:eastAsia="zh-CN"/>
              </w:rPr>
            </w:pPr>
            <w:r>
              <w:rPr>
                <w:rFonts w:hint="default" w:ascii="Times New Roman" w:hAnsi="Times New Roman" w:eastAsia="宋体" w:cs="Times New Roman"/>
                <w:color w:val="0000FF"/>
                <w:kern w:val="0"/>
                <w:sz w:val="21"/>
                <w:szCs w:val="21"/>
                <w:lang w:val="en-US" w:eastAsia="zh-CN" w:bidi="ar"/>
              </w:rPr>
              <w:t>OPRP</w:t>
            </w:r>
            <w:r>
              <w:rPr>
                <w:rFonts w:hint="eastAsia" w:ascii="Times New Roman" w:hAnsi="Times New Roman" w:eastAsia="宋体" w:cs="Times New Roman"/>
                <w:color w:val="0000FF"/>
                <w:kern w:val="0"/>
                <w:sz w:val="21"/>
                <w:szCs w:val="21"/>
                <w:lang w:val="en-US" w:eastAsia="zh-CN" w:bidi="ar"/>
              </w:rPr>
              <w:t>3</w:t>
            </w:r>
            <w:r>
              <w:rPr>
                <w:rFonts w:hint="eastAsia" w:cs="Times New Roman"/>
                <w:color w:val="0000FF"/>
                <w:kern w:val="0"/>
                <w:sz w:val="21"/>
                <w:szCs w:val="21"/>
                <w:lang w:val="en-US" w:eastAsia="zh-CN" w:bidi="ar"/>
              </w:rPr>
              <w:t>：内包</w:t>
            </w:r>
          </w:p>
        </w:tc>
        <w:tc>
          <w:tcPr>
            <w:tcW w:w="1470"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zCs w:val="21"/>
                <w:highlight w:val="none"/>
                <w:lang w:val="en-US" w:eastAsia="zh-CN"/>
              </w:rPr>
              <w:t>/行动准则</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2"/>
              <w:spacing w:line="360" w:lineRule="auto"/>
              <w:rPr>
                <w:rFonts w:hint="eastAsia" w:ascii="Times New Roman" w:hAnsi="Times New Roman" w:cs="Times New Roman"/>
                <w:color w:val="0000FF"/>
                <w:highlight w:val="none"/>
                <w:lang w:val="en-US" w:eastAsia="zh-CN"/>
              </w:rPr>
            </w:pPr>
            <w:r>
              <w:rPr>
                <w:rFonts w:hint="default" w:ascii="Times New Roman" w:hAnsi="Times New Roman" w:cs="Times New Roman"/>
                <w:highlight w:val="none"/>
                <w:lang w:val="en-US" w:eastAsia="zh-CN"/>
              </w:rPr>
              <w:t>CCP1</w:t>
            </w:r>
            <w:r>
              <w:rPr>
                <w:rFonts w:hint="eastAsia" w:ascii="Times New Roman" w:hAnsi="Times New Roman" w:cs="Times New Roman"/>
                <w:highlight w:val="none"/>
                <w:lang w:val="en-US" w:eastAsia="zh-CN"/>
              </w:rPr>
              <w:t>-CL：</w:t>
            </w:r>
            <w:r>
              <w:rPr>
                <w:rFonts w:hint="eastAsia" w:ascii="Times New Roman" w:hAnsi="Times New Roman" w:cs="Times New Roman"/>
                <w:color w:val="0000FF"/>
                <w:highlight w:val="none"/>
                <w:lang w:val="en-US" w:eastAsia="zh-CN"/>
              </w:rPr>
              <w:t>甜蜜素：≤8.0g/kg；焦亚硫酸钠≤0.35g/kg；山梨酸及其钾盐≤0.5g/kg；苯甲酸及其钠盐≤0.5g/kg；胭脂红及其铝色淀≤0.05g/kg；</w:t>
            </w:r>
          </w:p>
          <w:p>
            <w:pPr>
              <w:pStyle w:val="2"/>
              <w:spacing w:line="360" w:lineRule="auto"/>
              <w:rPr>
                <w:rFonts w:hint="eastAsia"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CCP2-1烘干——CL:烘干温度 60-75℃时间保持7-15小时</w:t>
            </w:r>
          </w:p>
          <w:p>
            <w:pPr>
              <w:pStyle w:val="2"/>
              <w:spacing w:line="360" w:lineRule="auto"/>
              <w:rPr>
                <w:rFonts w:hint="default" w:ascii="Times New Roman" w:hAnsi="Times New Roman" w:cs="Times New Roman"/>
                <w:color w:val="0000FF"/>
                <w:highlight w:val="none"/>
                <w:lang w:val="en-US" w:eastAsia="zh-CN"/>
              </w:rPr>
            </w:pPr>
            <w:r>
              <w:rPr>
                <w:rFonts w:hint="eastAsia" w:ascii="Times New Roman" w:hAnsi="Times New Roman" w:cs="Times New Roman"/>
                <w:color w:val="0000FF"/>
                <w:highlight w:val="none"/>
                <w:lang w:val="en-US" w:eastAsia="zh-CN"/>
              </w:rPr>
              <w:t>CCP2-2 二次烘干——CL：烘干温度 60-75℃，时间保持 1-2 小时；</w:t>
            </w:r>
          </w:p>
          <w:p>
            <w:pPr>
              <w:keepNext w:val="0"/>
              <w:keepLines w:val="0"/>
              <w:widowControl/>
              <w:suppressLineNumbers w:val="0"/>
              <w:jc w:val="left"/>
              <w:rPr>
                <w:rFonts w:hint="eastAsia" w:cs="Times New Roman"/>
                <w:color w:val="0000FF"/>
                <w:kern w:val="0"/>
                <w:sz w:val="19"/>
                <w:szCs w:val="19"/>
                <w:lang w:val="en-US" w:eastAsia="zh-CN" w:bidi="ar"/>
              </w:rPr>
            </w:pPr>
            <w:r>
              <w:rPr>
                <w:rFonts w:hint="default" w:ascii="Times New Roman" w:hAnsi="Times New Roman" w:eastAsia="宋体" w:cs="Times New Roman"/>
                <w:color w:val="0000FF"/>
                <w:kern w:val="0"/>
                <w:sz w:val="19"/>
                <w:szCs w:val="19"/>
                <w:lang w:val="en-US" w:eastAsia="zh-CN" w:bidi="ar"/>
              </w:rPr>
              <w:t>OPRP1-1</w:t>
            </w:r>
            <w:r>
              <w:rPr>
                <w:rFonts w:hint="eastAsia" w:cs="Times New Roman"/>
                <w:color w:val="0000FF"/>
                <w:kern w:val="0"/>
                <w:sz w:val="19"/>
                <w:szCs w:val="19"/>
                <w:lang w:val="en-US" w:eastAsia="zh-CN" w:bidi="ar"/>
              </w:rPr>
              <w:t>：山楂验收————行动准则：采购来自合格供方，每年索取山楂符合要求的外检报告</w:t>
            </w:r>
          </w:p>
          <w:p>
            <w:pPr>
              <w:keepNext w:val="0"/>
              <w:keepLines w:val="0"/>
              <w:widowControl/>
              <w:suppressLineNumbers w:val="0"/>
              <w:jc w:val="left"/>
              <w:rPr>
                <w:rFonts w:hint="default"/>
                <w:color w:val="0000FF"/>
                <w:lang w:val="en-US"/>
              </w:rPr>
            </w:pPr>
            <w:r>
              <w:rPr>
                <w:rFonts w:hint="default" w:ascii="Times New Roman" w:hAnsi="Times New Roman" w:eastAsia="宋体" w:cs="Times New Roman"/>
                <w:color w:val="0000FF"/>
                <w:kern w:val="0"/>
                <w:sz w:val="19"/>
                <w:szCs w:val="19"/>
                <w:lang w:val="en-US" w:eastAsia="zh-CN" w:bidi="ar"/>
              </w:rPr>
              <w:t>OPRP1-</w:t>
            </w:r>
            <w:r>
              <w:rPr>
                <w:rFonts w:hint="eastAsia" w:ascii="Times New Roman" w:hAnsi="Times New Roman" w:eastAsia="宋体" w:cs="Times New Roman"/>
                <w:color w:val="0000FF"/>
                <w:kern w:val="0"/>
                <w:sz w:val="19"/>
                <w:szCs w:val="19"/>
                <w:lang w:val="en-US" w:eastAsia="zh-CN" w:bidi="ar"/>
              </w:rPr>
              <w:t>2</w:t>
            </w:r>
            <w:r>
              <w:rPr>
                <w:rFonts w:hint="eastAsia" w:cs="Times New Roman"/>
                <w:color w:val="0000FF"/>
                <w:kern w:val="0"/>
                <w:sz w:val="19"/>
                <w:szCs w:val="19"/>
                <w:lang w:val="en-US" w:eastAsia="zh-CN" w:bidi="ar"/>
              </w:rPr>
              <w:t>：内包验收————行动准则：采购来自合格供方每年索取内包符合 要求的外检报告</w:t>
            </w:r>
          </w:p>
          <w:p>
            <w:pPr>
              <w:keepNext w:val="0"/>
              <w:keepLines w:val="0"/>
              <w:widowControl/>
              <w:suppressLineNumbers w:val="0"/>
              <w:jc w:val="left"/>
              <w:rPr>
                <w:rFonts w:hint="default"/>
                <w:color w:val="0000FF"/>
                <w:lang w:val="en-US"/>
              </w:rPr>
            </w:pPr>
            <w:r>
              <w:rPr>
                <w:rFonts w:hint="default" w:ascii="Times New Roman" w:hAnsi="Times New Roman" w:eastAsia="宋体" w:cs="Times New Roman"/>
                <w:color w:val="0000FF"/>
                <w:kern w:val="0"/>
                <w:sz w:val="19"/>
                <w:szCs w:val="19"/>
                <w:lang w:val="en-US" w:eastAsia="zh-CN" w:bidi="ar"/>
              </w:rPr>
              <w:t>OPRP</w:t>
            </w:r>
            <w:r>
              <w:rPr>
                <w:rFonts w:hint="eastAsia" w:ascii="Times New Roman" w:hAnsi="Times New Roman" w:eastAsia="宋体" w:cs="Times New Roman"/>
                <w:color w:val="0000FF"/>
                <w:kern w:val="0"/>
                <w:sz w:val="19"/>
                <w:szCs w:val="19"/>
                <w:lang w:val="en-US" w:eastAsia="zh-CN" w:bidi="ar"/>
              </w:rPr>
              <w:t>2</w:t>
            </w:r>
            <w:r>
              <w:rPr>
                <w:rFonts w:hint="eastAsia" w:cs="Times New Roman"/>
                <w:color w:val="0000FF"/>
                <w:kern w:val="0"/>
                <w:sz w:val="19"/>
                <w:szCs w:val="19"/>
                <w:lang w:val="en-US" w:eastAsia="zh-CN" w:bidi="ar"/>
              </w:rPr>
              <w:t>：切料——行动准则：每次生产前开启一小时臭氧对环境进行消杀（自动设置，每天确认）</w:t>
            </w:r>
          </w:p>
          <w:p>
            <w:pPr>
              <w:keepNext w:val="0"/>
              <w:keepLines w:val="0"/>
              <w:widowControl/>
              <w:suppressLineNumbers w:val="0"/>
              <w:jc w:val="left"/>
              <w:rPr>
                <w:color w:val="0000FF"/>
              </w:rPr>
            </w:pPr>
            <w:r>
              <w:rPr>
                <w:rFonts w:hint="default" w:ascii="Times New Roman" w:hAnsi="Times New Roman" w:eastAsia="宋体" w:cs="Times New Roman"/>
                <w:color w:val="0000FF"/>
                <w:kern w:val="0"/>
                <w:sz w:val="19"/>
                <w:szCs w:val="19"/>
                <w:lang w:val="en-US" w:eastAsia="zh-CN" w:bidi="ar"/>
              </w:rPr>
              <w:t>OPRP</w:t>
            </w:r>
            <w:r>
              <w:rPr>
                <w:rFonts w:hint="eastAsia" w:ascii="Times New Roman" w:hAnsi="Times New Roman" w:eastAsia="宋体" w:cs="Times New Roman"/>
                <w:color w:val="0000FF"/>
                <w:kern w:val="0"/>
                <w:sz w:val="19"/>
                <w:szCs w:val="19"/>
                <w:lang w:val="en-US" w:eastAsia="zh-CN" w:bidi="ar"/>
              </w:rPr>
              <w:t>3</w:t>
            </w:r>
            <w:r>
              <w:rPr>
                <w:rFonts w:hint="eastAsia" w:cs="Times New Roman"/>
                <w:color w:val="0000FF"/>
                <w:kern w:val="0"/>
                <w:sz w:val="19"/>
                <w:szCs w:val="19"/>
                <w:lang w:val="en-US" w:eastAsia="zh-CN" w:bidi="ar"/>
              </w:rPr>
              <w:t>：内包——行动准则：</w:t>
            </w:r>
            <w:bookmarkStart w:id="38" w:name="_GoBack"/>
            <w:r>
              <w:rPr>
                <w:rFonts w:hint="default" w:ascii="Times New Roman" w:hAnsi="Times New Roman" w:eastAsia="宋体" w:cs="Times New Roman"/>
                <w:color w:val="0000FF"/>
                <w:kern w:val="0"/>
                <w:sz w:val="19"/>
                <w:szCs w:val="19"/>
                <w:lang w:val="en-US" w:eastAsia="zh-CN" w:bidi="ar"/>
              </w:rPr>
              <w:t>1</w:t>
            </w:r>
            <w:r>
              <w:rPr>
                <w:rFonts w:hint="eastAsia" w:ascii="宋体" w:hAnsi="宋体" w:cs="宋体"/>
                <w:color w:val="0000FF"/>
                <w:kern w:val="0"/>
                <w:sz w:val="19"/>
                <w:szCs w:val="19"/>
                <w:lang w:val="en-US" w:eastAsia="zh-CN" w:bidi="ar"/>
              </w:rPr>
              <w:t>）</w:t>
            </w:r>
            <w:r>
              <w:rPr>
                <w:rFonts w:hint="eastAsia" w:ascii="宋体" w:hAnsi="宋体" w:eastAsia="宋体" w:cs="宋体"/>
                <w:color w:val="0000FF"/>
                <w:kern w:val="0"/>
                <w:sz w:val="19"/>
                <w:szCs w:val="19"/>
                <w:lang w:val="en-US" w:eastAsia="zh-CN" w:bidi="ar"/>
              </w:rPr>
              <w:t xml:space="preserve">每次生产前开启 </w:t>
            </w:r>
          </w:p>
          <w:p>
            <w:pPr>
              <w:keepNext w:val="0"/>
              <w:keepLines w:val="0"/>
              <w:widowControl/>
              <w:suppressLineNumbers w:val="0"/>
              <w:jc w:val="left"/>
              <w:rPr>
                <w:rFonts w:hint="default" w:ascii="Times New Roman" w:hAnsi="Times New Roman" w:cs="Times New Roman"/>
                <w:highlight w:val="none"/>
                <w:lang w:val="en-US" w:eastAsia="zh-CN"/>
              </w:rPr>
            </w:pPr>
            <w:r>
              <w:rPr>
                <w:rFonts w:hint="eastAsia" w:ascii="宋体" w:hAnsi="宋体" w:eastAsia="宋体" w:cs="宋体"/>
                <w:color w:val="0000FF"/>
                <w:kern w:val="0"/>
                <w:sz w:val="19"/>
                <w:szCs w:val="19"/>
                <w:lang w:val="en-US" w:eastAsia="zh-CN" w:bidi="ar"/>
              </w:rPr>
              <w:t>一小时臭氧对环境进行消杀；</w:t>
            </w:r>
            <w:r>
              <w:rPr>
                <w:rFonts w:hint="default" w:ascii="Times New Roman" w:hAnsi="Times New Roman" w:eastAsia="宋体" w:cs="Times New Roman"/>
                <w:color w:val="0000FF"/>
                <w:kern w:val="0"/>
                <w:sz w:val="19"/>
                <w:szCs w:val="19"/>
                <w:lang w:val="en-US" w:eastAsia="zh-CN" w:bidi="ar"/>
              </w:rPr>
              <w:t>2</w:t>
            </w:r>
            <w:r>
              <w:rPr>
                <w:rFonts w:hint="eastAsia" w:ascii="宋体" w:hAnsi="宋体" w:cs="宋体"/>
                <w:color w:val="0000FF"/>
                <w:kern w:val="0"/>
                <w:sz w:val="19"/>
                <w:szCs w:val="19"/>
                <w:lang w:val="en-US" w:eastAsia="zh-CN" w:bidi="ar"/>
              </w:rPr>
              <w:t>）</w:t>
            </w:r>
            <w:r>
              <w:rPr>
                <w:rFonts w:hint="eastAsia" w:ascii="宋体" w:hAnsi="宋体" w:eastAsia="宋体" w:cs="宋体"/>
                <w:color w:val="0000FF"/>
                <w:kern w:val="0"/>
                <w:sz w:val="19"/>
                <w:szCs w:val="19"/>
                <w:lang w:val="en-US" w:eastAsia="zh-CN" w:bidi="ar"/>
              </w:rPr>
              <w:t>对内包材臭氧</w:t>
            </w:r>
            <w:r>
              <w:rPr>
                <w:rFonts w:hint="default" w:ascii="Times New Roman" w:hAnsi="Times New Roman" w:eastAsia="宋体" w:cs="Times New Roman"/>
                <w:color w:val="0000FF"/>
                <w:kern w:val="0"/>
                <w:sz w:val="19"/>
                <w:szCs w:val="19"/>
                <w:lang w:val="en-US" w:eastAsia="zh-CN" w:bidi="ar"/>
              </w:rPr>
              <w:t>/</w:t>
            </w:r>
            <w:r>
              <w:rPr>
                <w:rFonts w:hint="eastAsia" w:ascii="宋体" w:hAnsi="宋体" w:eastAsia="宋体" w:cs="宋体"/>
                <w:color w:val="0000FF"/>
                <w:kern w:val="0"/>
                <w:sz w:val="19"/>
                <w:szCs w:val="19"/>
                <w:lang w:val="en-US" w:eastAsia="zh-CN" w:bidi="ar"/>
              </w:rPr>
              <w:t xml:space="preserve">紫外线消杀 </w:t>
            </w:r>
            <w:r>
              <w:rPr>
                <w:rFonts w:hint="default" w:ascii="Times New Roman" w:hAnsi="Times New Roman" w:eastAsia="宋体" w:cs="Times New Roman"/>
                <w:color w:val="0000FF"/>
                <w:kern w:val="0"/>
                <w:sz w:val="19"/>
                <w:szCs w:val="19"/>
                <w:lang w:val="en-US" w:eastAsia="zh-CN" w:bidi="ar"/>
              </w:rPr>
              <w:t xml:space="preserve">30min </w:t>
            </w:r>
            <w:r>
              <w:rPr>
                <w:rFonts w:hint="eastAsia" w:ascii="宋体" w:hAnsi="宋体" w:eastAsia="宋体" w:cs="宋体"/>
                <w:color w:val="0000FF"/>
                <w:kern w:val="0"/>
                <w:sz w:val="19"/>
                <w:szCs w:val="19"/>
                <w:lang w:val="en-US" w:eastAsia="zh-CN" w:bidi="ar"/>
              </w:rPr>
              <w:t>以上</w:t>
            </w:r>
            <w:r>
              <w:rPr>
                <w:rFonts w:hint="eastAsia" w:ascii="宋体" w:hAnsi="宋体" w:cs="宋体"/>
                <w:color w:val="0000FF"/>
                <w:kern w:val="0"/>
                <w:sz w:val="19"/>
                <w:szCs w:val="19"/>
                <w:lang w:val="en-US" w:eastAsia="zh-CN" w:bidi="ar"/>
              </w:rPr>
              <w:t>；</w:t>
            </w:r>
            <w:bookmarkEnd w:id="38"/>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2573"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见食品添加剂清单</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49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是否满足生产/服务的需要且完好运行</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color w:val="000000"/>
                <w:szCs w:val="21"/>
              </w:rPr>
              <w:t>（不适用）</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sym w:font="Wingdings 2" w:char="00A3"/>
            </w:r>
            <w:r>
              <w:rPr>
                <w:rFonts w:hint="eastAsia" w:ascii="宋体" w:hAnsi="宋体"/>
                <w:color w:val="000000"/>
                <w:szCs w:val="21"/>
              </w:rPr>
              <w:t xml:space="preserve">是     </w:t>
            </w:r>
          </w:p>
        </w:tc>
        <w:tc>
          <w:tcPr>
            <w:tcW w:w="1230" w:type="dxa"/>
            <w:shd w:val="clear" w:color="auto" w:fill="E6E0EC" w:themeFill="accent4" w:themeFillTint="32"/>
          </w:tcPr>
          <w:p>
            <w:pPr>
              <w:rPr>
                <w:rFonts w:hint="eastAsia" w:ascii="宋体" w:hAnsi="宋体" w:eastAsia="宋体"/>
                <w:color w:val="000000"/>
                <w:szCs w:val="21"/>
                <w:lang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490" w:type="dxa"/>
            <w:shd w:val="clear" w:color="auto" w:fill="E6E0EC" w:themeFill="accent4" w:themeFillTint="32"/>
            <w:vAlign w:val="center"/>
          </w:tcPr>
          <w:p>
            <w:pPr>
              <w:jc w:val="left"/>
              <w:rPr>
                <w:rFonts w:ascii="宋体"/>
                <w:color w:val="000000"/>
                <w:szCs w:val="21"/>
              </w:rPr>
            </w:pPr>
            <w:r>
              <w:rPr>
                <w:rFonts w:hint="eastAsia" w:ascii="宋体"/>
                <w:color w:val="000000"/>
                <w:szCs w:val="21"/>
              </w:rPr>
              <w:t>是否满足产品检测的需要</w:t>
            </w:r>
          </w:p>
        </w:tc>
        <w:tc>
          <w:tcPr>
            <w:tcW w:w="1470" w:type="dxa"/>
            <w:shd w:val="clear" w:color="auto" w:fill="E6E0EC" w:themeFill="accent4"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230" w:type="dxa"/>
            <w:shd w:val="clear" w:color="auto" w:fill="E6E0EC" w:themeFill="accent4" w:themeFillTint="32"/>
          </w:tcPr>
          <w:p>
            <w:pPr>
              <w:rPr>
                <w:rFonts w:hint="default" w:ascii="宋体"/>
                <w:color w:val="000000"/>
                <w:szCs w:val="21"/>
                <w:lang w:val="en-US"/>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47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ind w:left="168" w:leftChars="80"/>
              <w:rPr>
                <w:rFonts w:ascii="宋体"/>
                <w:color w:val="000000"/>
                <w:spacing w:val="-10"/>
                <w:szCs w:val="21"/>
              </w:rPr>
            </w:pP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rFonts w:ascii="宋体" w:hAnsi="宋体"/>
                <w:color w:val="000000"/>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190"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A3"/>
            </w:r>
            <w:r>
              <w:rPr>
                <w:rFonts w:hint="eastAsia" w:ascii="宋体" w:hAnsi="宋体"/>
                <w:b/>
                <w:color w:val="000000"/>
                <w:sz w:val="20"/>
                <w:szCs w:val="20"/>
              </w:rPr>
              <w:t>运输过程</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FF"/>
                <w:szCs w:val="21"/>
              </w:rPr>
              <w:t>初步定于</w:t>
            </w:r>
            <w:bookmarkStart w:id="37" w:name="二阶段审核日期"/>
            <w:bookmarkEnd w:id="37"/>
            <w:r>
              <w:rPr>
                <w:rFonts w:hint="eastAsia" w:ascii="宋体"/>
                <w:b/>
                <w:color w:val="0000FF"/>
                <w:szCs w:val="21"/>
                <w:lang w:val="en-US" w:eastAsia="zh-CN"/>
              </w:rPr>
              <w:t>2022-07-26上午</w:t>
            </w:r>
          </w:p>
        </w:tc>
      </w:tr>
    </w:tbl>
    <w:p>
      <w:pPr>
        <w:spacing w:before="156" w:beforeLines="50" w:line="360" w:lineRule="exact"/>
        <w:rPr>
          <w:rFonts w:ascii="宋体"/>
          <w:b/>
          <w:color w:val="000000"/>
          <w:szCs w:val="21"/>
        </w:rPr>
      </w:pPr>
    </w:p>
    <w:p>
      <w:pPr>
        <w:widowControl/>
        <w:jc w:val="left"/>
        <w:rPr>
          <w:rFonts w:hint="default" w:ascii="宋体" w:eastAsia="宋体"/>
          <w:b/>
          <w:color w:val="0000FF"/>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FF"/>
          <w:szCs w:val="21"/>
          <w:lang w:eastAsia="zh-CN"/>
        </w:rPr>
        <w:t>——</w:t>
      </w:r>
      <w:r>
        <w:rPr>
          <w:rFonts w:hint="eastAsia" w:ascii="宋体" w:hAnsi="宋体"/>
          <w:b/>
          <w:color w:val="0000FF"/>
          <w:szCs w:val="21"/>
          <w:lang w:val="en-US" w:eastAsia="zh-CN"/>
        </w:rPr>
        <w:t>不涉及</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strike/>
          <w:dstrike w:val="0"/>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sz w:val="21"/>
                <w:szCs w:val="21"/>
              </w:rPr>
              <w:t>位于</w:t>
            </w:r>
            <w:r>
              <w:rPr>
                <w:rFonts w:hint="eastAsia"/>
                <w:sz w:val="21"/>
                <w:szCs w:val="21"/>
                <w:lang w:val="en-US" w:eastAsia="zh-CN"/>
              </w:rPr>
              <w:t>河北省</w:t>
            </w:r>
            <w:r>
              <w:rPr>
                <w:sz w:val="21"/>
                <w:szCs w:val="21"/>
              </w:rPr>
              <w:t>承德</w:t>
            </w:r>
            <w:r>
              <w:rPr>
                <w:rFonts w:hint="eastAsia"/>
                <w:sz w:val="21"/>
                <w:szCs w:val="21"/>
                <w:lang w:val="en-US" w:eastAsia="zh-CN"/>
              </w:rPr>
              <w:t>市</w:t>
            </w:r>
            <w:r>
              <w:rPr>
                <w:sz w:val="21"/>
                <w:szCs w:val="21"/>
              </w:rPr>
              <w:t>鹰手营子矿区北马圈子镇金扇子112线国道东侧食品园区2号</w:t>
            </w:r>
            <w:r>
              <w:rPr>
                <w:rFonts w:hint="eastAsia"/>
                <w:sz w:val="21"/>
                <w:szCs w:val="21"/>
                <w:lang w:val="en-US" w:eastAsia="zh-CN"/>
              </w:rPr>
              <w:t>河北友楂食品有限公司</w:t>
            </w:r>
            <w:r>
              <w:rPr>
                <w:sz w:val="21"/>
                <w:szCs w:val="21"/>
              </w:rPr>
              <w:t>生产车间的</w:t>
            </w:r>
            <w:r>
              <w:rPr>
                <w:rFonts w:hint="eastAsia"/>
                <w:sz w:val="21"/>
                <w:szCs w:val="21"/>
                <w:lang w:val="en-US" w:eastAsia="zh-CN"/>
              </w:rPr>
              <w:t>山楂</w:t>
            </w:r>
            <w:r>
              <w:rPr>
                <w:sz w:val="21"/>
                <w:szCs w:val="21"/>
              </w:rPr>
              <w:t>果糕类</w:t>
            </w:r>
            <w:r>
              <w:rPr>
                <w:rFonts w:hint="eastAsia"/>
                <w:sz w:val="21"/>
                <w:szCs w:val="21"/>
                <w:lang w:val="en-US" w:eastAsia="zh-CN"/>
              </w:rPr>
              <w:t>产品</w:t>
            </w:r>
            <w:r>
              <w:rPr>
                <w:sz w:val="21"/>
                <w:szCs w:val="21"/>
              </w:rPr>
              <w:t>的生产</w:t>
            </w:r>
          </w:p>
        </w:tc>
        <w:tc>
          <w:tcPr>
            <w:tcW w:w="1541" w:type="dxa"/>
            <w:vAlign w:val="center"/>
          </w:tcPr>
          <w:p>
            <w:pPr>
              <w:spacing w:line="400" w:lineRule="exact"/>
              <w:rPr>
                <w:rFonts w:ascii="宋体" w:hAnsi="宋体"/>
                <w:b/>
                <w:color w:val="000000"/>
                <w:szCs w:val="21"/>
              </w:rPr>
            </w:pPr>
            <w:r>
              <w:rPr>
                <w:sz w:val="21"/>
                <w:szCs w:val="21"/>
              </w:rPr>
              <w:t>CIV-7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662336" behindDoc="1" locked="0" layoutInCell="1" allowOverlap="1">
            <wp:simplePos x="0" y="0"/>
            <wp:positionH relativeFrom="column">
              <wp:posOffset>3893185</wp:posOffset>
            </wp:positionH>
            <wp:positionV relativeFrom="paragraph">
              <wp:posOffset>323850</wp:posOffset>
            </wp:positionV>
            <wp:extent cx="723900" cy="381000"/>
            <wp:effectExtent l="0" t="0" r="0" b="0"/>
            <wp:wrapTight wrapText="bothSides">
              <wp:wrapPolygon>
                <wp:start x="0" y="0"/>
                <wp:lineTo x="0" y="20880"/>
                <wp:lineTo x="21221" y="20880"/>
                <wp:lineTo x="21221" y="0"/>
                <wp:lineTo x="0" y="0"/>
              </wp:wrapPolygon>
            </wp:wrapTight>
            <wp:docPr id="5" name="图片 5" descr="c36a1cdc6599b5c08595f0e508a9a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36a1cdc6599b5c08595f0e508a9aa9"/>
                    <pic:cNvPicPr>
                      <a:picLocks noChangeAspect="1"/>
                    </pic:cNvPicPr>
                  </pic:nvPicPr>
                  <pic:blipFill>
                    <a:blip r:embed="rId6"/>
                    <a:stretch>
                      <a:fillRect/>
                    </a:stretch>
                  </pic:blipFill>
                  <pic:spPr>
                    <a:xfrm>
                      <a:off x="0" y="0"/>
                      <a:ext cx="723900" cy="381000"/>
                    </a:xfrm>
                    <a:prstGeom prst="rect">
                      <a:avLst/>
                    </a:prstGeom>
                  </pic:spPr>
                </pic:pic>
              </a:graphicData>
            </a:graphic>
          </wp:anchor>
        </w:drawing>
      </w:r>
      <w:r>
        <w:rPr>
          <w:rFonts w:hint="eastAsia" w:eastAsia="宋体"/>
          <w:b/>
          <w:sz w:val="20"/>
          <w:lang w:eastAsia="zh-CN"/>
        </w:rPr>
        <w:drawing>
          <wp:anchor distT="0" distB="0" distL="114300" distR="114300" simplePos="0" relativeHeight="251663360" behindDoc="1" locked="0" layoutInCell="1" allowOverlap="1">
            <wp:simplePos x="0" y="0"/>
            <wp:positionH relativeFrom="column">
              <wp:posOffset>1760855</wp:posOffset>
            </wp:positionH>
            <wp:positionV relativeFrom="paragraph">
              <wp:posOffset>283845</wp:posOffset>
            </wp:positionV>
            <wp:extent cx="669925" cy="387985"/>
            <wp:effectExtent l="0" t="0" r="3175" b="5715"/>
            <wp:wrapTight wrapText="bothSides">
              <wp:wrapPolygon>
                <wp:start x="0" y="0"/>
                <wp:lineTo x="0" y="21211"/>
                <wp:lineTo x="21293" y="21211"/>
                <wp:lineTo x="21293" y="0"/>
                <wp:lineTo x="0" y="0"/>
              </wp:wrapPolygon>
            </wp:wrapTight>
            <wp:docPr id="3" name="图片 3"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03"/>
                    <pic:cNvPicPr>
                      <a:picLocks noChangeAspect="1"/>
                    </pic:cNvPicPr>
                  </pic:nvPicPr>
                  <pic:blipFill>
                    <a:blip r:embed="rId7"/>
                    <a:stretch>
                      <a:fillRect/>
                    </a:stretch>
                  </pic:blipFill>
                  <pic:spPr>
                    <a:xfrm>
                      <a:off x="0" y="0"/>
                      <a:ext cx="669925" cy="38798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2022-07-25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026A3E92"/>
    <w:rsid w:val="02CD3135"/>
    <w:rsid w:val="05745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tabs>
        <w:tab w:val="left" w:pos="540"/>
        <w:tab w:val="clear" w:pos="1560"/>
        <w:tab w:val="clear" w:pos="1985"/>
      </w:tabs>
      <w:ind w:firstLine="420" w:firstLineChars="200"/>
    </w:p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2"/>
    <w:qFormat/>
    <w:locked/>
    <w:uiPriority w:val="99"/>
    <w:rPr>
      <w:rFonts w:ascii="Times New Roman" w:hAnsi="Times New Roman" w:eastAsia="宋体" w:cs="Times New Roman"/>
      <w:sz w:val="18"/>
      <w:szCs w:val="18"/>
    </w:rPr>
  </w:style>
  <w:style w:type="character" w:customStyle="1" w:styleId="14">
    <w:name w:val="页眉 Char"/>
    <w:link w:val="6"/>
    <w:qFormat/>
    <w:locked/>
    <w:uiPriority w:val="99"/>
    <w:rPr>
      <w:rFonts w:ascii="Calibri" w:hAnsi="Calibri" w:eastAsia="宋体" w:cs="Times New Roman"/>
      <w:sz w:val="18"/>
      <w:szCs w:val="18"/>
    </w:rPr>
  </w:style>
  <w:style w:type="character" w:customStyle="1" w:styleId="15">
    <w:name w:val="副标题 Char"/>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2022-07-25T10:06:44Z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