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0299-2021-QO-2022</w:t>
      </w:r>
      <w:bookmarkEnd w:id="0"/>
    </w:p>
    <w:p>
      <w:pPr>
        <w:jc w:val="center"/>
        <w:rPr>
          <w:sz w:val="32"/>
          <w:szCs w:val="32"/>
        </w:rPr>
      </w:pPr>
    </w:p>
    <w:p>
      <w:pPr>
        <w:jc w:val="center"/>
        <w:rPr>
          <w:rFonts w:hint="eastAsia"/>
          <w:sz w:val="32"/>
          <w:szCs w:val="32"/>
        </w:rPr>
      </w:pPr>
    </w:p>
    <w:p>
      <w:pPr>
        <w:pStyle w:val="2"/>
        <w:rPr>
          <w:rFonts w:hint="eastAsia"/>
        </w:rPr>
      </w:pPr>
    </w:p>
    <w:p>
      <w:pPr>
        <w:pStyle w:val="2"/>
        <w:rPr>
          <w:rFonts w:hint="eastAsia"/>
        </w:rPr>
      </w:pPr>
      <w:r>
        <w:rPr>
          <w:sz w:val="32"/>
          <w:szCs w:val="32"/>
        </w:rPr>
        <w:drawing>
          <wp:anchor distT="0" distB="0" distL="114300" distR="114300" simplePos="0" relativeHeight="251660288" behindDoc="1" locked="0" layoutInCell="1" allowOverlap="1">
            <wp:simplePos x="0" y="0"/>
            <wp:positionH relativeFrom="column">
              <wp:posOffset>2312670</wp:posOffset>
            </wp:positionH>
            <wp:positionV relativeFrom="paragraph">
              <wp:posOffset>64135</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青岛昊利达电气有限公司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青岛昊利达电气有限公司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山东省青岛市黄岛区海滨工业园</w:t>
            </w:r>
            <w:bookmarkEnd w:id="6"/>
          </w:p>
        </w:tc>
        <w:tc>
          <w:tcPr>
            <w:tcW w:w="1242" w:type="dxa"/>
            <w:vMerge w:val="restart"/>
            <w:vAlign w:val="center"/>
          </w:tcPr>
          <w:p>
            <w:r>
              <w:rPr>
                <w:rFonts w:hint="eastAsia"/>
              </w:rPr>
              <w:t>邮编</w:t>
            </w:r>
          </w:p>
        </w:tc>
        <w:tc>
          <w:tcPr>
            <w:tcW w:w="1771" w:type="dxa"/>
          </w:tcPr>
          <w:p>
            <w:bookmarkStart w:id="7" w:name="注册邮编"/>
            <w:r>
              <w:t>266400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山东省青岛市黄岛区海滨工业园寨子山路358号</w:t>
            </w:r>
            <w:bookmarkEnd w:id="8"/>
          </w:p>
        </w:tc>
        <w:tc>
          <w:tcPr>
            <w:tcW w:w="1242" w:type="dxa"/>
            <w:vMerge w:val="continue"/>
            <w:vAlign w:val="center"/>
          </w:tcPr>
          <w:p/>
        </w:tc>
        <w:tc>
          <w:tcPr>
            <w:tcW w:w="1771" w:type="dxa"/>
          </w:tcPr>
          <w:p>
            <w:bookmarkStart w:id="9" w:name="办公邮编"/>
            <w:r>
              <w:t>266400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徐慧</w:t>
            </w:r>
            <w:bookmarkEnd w:id="10"/>
          </w:p>
        </w:tc>
        <w:tc>
          <w:tcPr>
            <w:tcW w:w="1313" w:type="dxa"/>
            <w:vAlign w:val="center"/>
          </w:tcPr>
          <w:p>
            <w:r>
              <w:rPr>
                <w:rFonts w:hint="eastAsia"/>
              </w:rPr>
              <w:t>电话.</w:t>
            </w:r>
          </w:p>
        </w:tc>
        <w:tc>
          <w:tcPr>
            <w:tcW w:w="2180" w:type="dxa"/>
            <w:vAlign w:val="center"/>
          </w:tcPr>
          <w:p>
            <w:bookmarkStart w:id="11" w:name="联系人电话"/>
            <w:r>
              <w:t>13606486156</w:t>
            </w:r>
            <w:bookmarkEnd w:id="11"/>
          </w:p>
        </w:tc>
        <w:tc>
          <w:tcPr>
            <w:tcW w:w="1242" w:type="dxa"/>
            <w:vAlign w:val="center"/>
          </w:tcPr>
          <w:p>
            <w:r>
              <w:rPr>
                <w:rFonts w:hint="eastAsia"/>
              </w:rPr>
              <w:t>传真</w:t>
            </w:r>
          </w:p>
        </w:tc>
        <w:tc>
          <w:tcPr>
            <w:tcW w:w="1771" w:type="dxa"/>
          </w:tcPr>
          <w:p>
            <w:bookmarkStart w:id="12" w:name="联系人传真"/>
            <w:r>
              <w:t>0532-88139869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丁立国</w:t>
            </w:r>
            <w:bookmarkEnd w:id="13"/>
          </w:p>
        </w:tc>
        <w:tc>
          <w:tcPr>
            <w:tcW w:w="1313" w:type="dxa"/>
            <w:vAlign w:val="center"/>
          </w:tcPr>
          <w:p>
            <w:r>
              <w:rPr>
                <w:rFonts w:hint="eastAsia"/>
              </w:rPr>
              <w:t>管理者代表</w:t>
            </w:r>
          </w:p>
        </w:tc>
        <w:tc>
          <w:tcPr>
            <w:tcW w:w="2180" w:type="dxa"/>
          </w:tcPr>
          <w:p>
            <w:bookmarkStart w:id="14" w:name="管理者代表"/>
            <w:r>
              <w:t>赵绪荣</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default"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both"/>
              <w:rPr>
                <w:rFonts w:hint="eastAsia"/>
                <w:b w:val="0"/>
                <w:bCs/>
                <w:sz w:val="20"/>
              </w:rPr>
            </w:pPr>
          </w:p>
          <w:p>
            <w:pPr>
              <w:snapToGrid w:val="0"/>
              <w:spacing w:line="280" w:lineRule="exact"/>
              <w:jc w:val="both"/>
              <w:rPr>
                <w:rFonts w:hint="eastAsia"/>
                <w:b w:val="0"/>
                <w:bCs/>
                <w:sz w:val="20"/>
              </w:rPr>
            </w:pPr>
            <w:r>
              <w:rPr>
                <w:rFonts w:hint="eastAsia"/>
                <w:b w:val="0"/>
                <w:bCs/>
                <w:sz w:val="20"/>
              </w:rPr>
              <w:t>石墨线</w:t>
            </w:r>
            <w:r>
              <w:rPr>
                <w:rFonts w:hint="eastAsia"/>
                <w:b w:val="0"/>
                <w:bCs/>
                <w:sz w:val="20"/>
                <w:lang w:val="en-US" w:eastAsia="zh-CN"/>
              </w:rPr>
              <w:t>柔性复合接地体</w:t>
            </w:r>
            <w:r>
              <w:rPr>
                <w:rFonts w:hint="eastAsia"/>
                <w:b w:val="0"/>
                <w:bCs/>
                <w:sz w:val="20"/>
              </w:rPr>
              <w:t>工艺流程：石墨线（细）→编织→石墨线（粗）→包装→成品</w:t>
            </w:r>
          </w:p>
          <w:p>
            <w:pPr>
              <w:pStyle w:val="4"/>
              <w:rPr>
                <w:rFonts w:hint="eastAsia"/>
                <w:b w:val="0"/>
                <w:bCs/>
                <w:sz w:val="20"/>
              </w:rPr>
            </w:pPr>
          </w:p>
          <w:p>
            <w:pPr>
              <w:pStyle w:val="4"/>
              <w:rPr>
                <w:rFonts w:hint="eastAsia"/>
                <w:b w:val="0"/>
                <w:bCs/>
                <w:sz w:val="20"/>
              </w:rPr>
            </w:pPr>
          </w:p>
          <w:p>
            <w:pPr>
              <w:pStyle w:val="4"/>
              <w:rPr>
                <w:rFonts w:hint="eastAsia"/>
                <w:b w:val="0"/>
                <w:bCs/>
                <w:sz w:val="20"/>
              </w:rPr>
            </w:pPr>
          </w:p>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铜覆钢接地极生产流程图：原材料</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验收</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镀铜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验收</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切割</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安装</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检测</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成品</w:t>
            </w:r>
          </w:p>
          <w:p>
            <w:pPr>
              <w:pStyle w:val="4"/>
              <w:rPr>
                <w:rFonts w:hint="eastAsia"/>
                <w:b w:val="0"/>
                <w:bCs/>
                <w:sz w:val="20"/>
              </w:rPr>
            </w:pPr>
          </w:p>
          <w:p>
            <w:pPr>
              <w:pStyle w:val="4"/>
              <w:rPr>
                <w:rFonts w:hint="eastAsia"/>
                <w:b w:val="0"/>
                <w:bCs/>
                <w:sz w:val="20"/>
              </w:rPr>
            </w:pP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w:t>
            </w:r>
            <w:r>
              <w:rPr>
                <w:rFonts w:hint="eastAsia"/>
                <w:lang w:val="en-US" w:eastAsia="zh-CN"/>
              </w:rPr>
              <w:t>7</w:t>
            </w:r>
            <w:r>
              <w:rPr>
                <w:rFonts w:hint="eastAsia"/>
              </w:rPr>
              <w:t>月2</w:t>
            </w:r>
            <w:r>
              <w:rPr>
                <w:rFonts w:hint="eastAsia"/>
                <w:lang w:val="en-US" w:eastAsia="zh-CN"/>
              </w:rPr>
              <w:t>5</w:t>
            </w:r>
            <w:r>
              <w:rPr>
                <w:rFonts w:hint="eastAsia"/>
              </w:rPr>
              <w:t xml:space="preserve">日 </w:t>
            </w:r>
            <w:r>
              <w:rPr>
                <w:rFonts w:hint="eastAsia"/>
                <w:lang w:val="en-US" w:eastAsia="zh-CN"/>
              </w:rPr>
              <w:t>下</w:t>
            </w:r>
            <w:r>
              <w:rPr>
                <w:rFonts w:hint="eastAsia"/>
              </w:rPr>
              <w:t>午至2022年0</w:t>
            </w:r>
            <w:r>
              <w:rPr>
                <w:rFonts w:hint="eastAsia"/>
                <w:lang w:val="en-US" w:eastAsia="zh-CN"/>
              </w:rPr>
              <w:t>7</w:t>
            </w:r>
            <w:r>
              <w:rPr>
                <w:rFonts w:hint="eastAsia"/>
              </w:rPr>
              <w:t>月2</w:t>
            </w:r>
            <w:r>
              <w:rPr>
                <w:rFonts w:hint="eastAsia"/>
                <w:lang w:val="en-US" w:eastAsia="zh-CN"/>
              </w:rPr>
              <w:t>5</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扩项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监督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扩项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监督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山东省青岛市黄岛区海滨工业园寨子山路358号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29" w:name="审核范围"/>
            <w:r>
              <w:rPr>
                <w:sz w:val="20"/>
              </w:rPr>
              <w:t>Q：石墨复合接地体和铜覆钢接地极的生产和销售</w:t>
            </w:r>
          </w:p>
          <w:p>
            <w:r>
              <w:rPr>
                <w:sz w:val="20"/>
              </w:rPr>
              <w:t>O：石墨复合接地体和铜覆钢接地极的生产和销售</w:t>
            </w:r>
            <w:bookmarkEnd w:id="29"/>
            <w:r>
              <w:rPr>
                <w:sz w:val="20"/>
              </w:rPr>
              <w:t>所涉及场所相关的职业健康安全管理活动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w:t>
            </w:r>
            <w:r>
              <w:rPr>
                <w:sz w:val="20"/>
                <w:lang w:val="de-DE"/>
              </w:rPr>
              <w:t>15.06.02,19.11.03</w:t>
            </w:r>
          </w:p>
          <w:p>
            <w:r>
              <w:t>O：</w:t>
            </w:r>
            <w:bookmarkEnd w:id="30"/>
            <w:r>
              <w:rPr>
                <w:sz w:val="20"/>
                <w:lang w:val="de-DE"/>
              </w:rPr>
              <w:t>15.06.02,19.11.03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w:t>
            </w:r>
            <w:r>
              <w:t>.</w:t>
            </w: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年0</w:t>
            </w:r>
            <w:r>
              <w:rPr>
                <w:rFonts w:hint="eastAsia" w:cs="Times New Roman"/>
                <w:lang w:val="en-US" w:eastAsia="zh-CN"/>
              </w:rPr>
              <w:t>5</w:t>
            </w:r>
            <w:r>
              <w:rPr>
                <w:rFonts w:hint="eastAsia" w:ascii="Times New Roman" w:hAnsi="Times New Roman" w:eastAsia="宋体" w:cs="Times New Roman"/>
                <w:lang w:val="en-US" w:eastAsia="zh-CN"/>
              </w:rPr>
              <w:t>月2</w:t>
            </w:r>
            <w:r>
              <w:rPr>
                <w:rFonts w:hint="eastAsia" w:cs="Times New Roman"/>
                <w:lang w:val="en-US" w:eastAsia="zh-CN"/>
              </w:rPr>
              <w:t>0</w:t>
            </w:r>
            <w:r>
              <w:rPr>
                <w:rFonts w:hint="eastAsia" w:ascii="Times New Roman" w:hAnsi="Times New Roman" w:eastAsia="宋体" w:cs="Times New Roman"/>
                <w:lang w:val="en-US" w:eastAsia="zh-CN"/>
              </w:rPr>
              <w:t xml:space="preserve">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79"/>
        <w:gridCol w:w="1125"/>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79" w:type="dxa"/>
            <w:shd w:val="clear" w:color="auto" w:fill="F3F3F3"/>
            <w:tcMar>
              <w:left w:w="57" w:type="dxa"/>
              <w:right w:w="57" w:type="dxa"/>
            </w:tcMar>
          </w:tcPr>
          <w:p>
            <w:r>
              <w:rPr>
                <w:rFonts w:hint="eastAsia"/>
              </w:rPr>
              <w:t>审核范围（产品和过程）</w:t>
            </w:r>
          </w:p>
          <w:p/>
          <w:p/>
        </w:tc>
        <w:tc>
          <w:tcPr>
            <w:tcW w:w="1125" w:type="dxa"/>
            <w:shd w:val="clear" w:color="auto" w:fill="F3F3F3"/>
            <w:tcMar>
              <w:left w:w="57" w:type="dxa"/>
              <w:right w:w="57" w:type="dxa"/>
            </w:tcMar>
          </w:tcPr>
          <w:p>
            <w:r>
              <w:rPr>
                <w:rFonts w:hint="eastAsia"/>
              </w:rPr>
              <w:t>标准</w:t>
            </w:r>
          </w:p>
        </w:tc>
        <w:tc>
          <w:tcPr>
            <w:tcW w:w="536"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青岛昊利达电气有限公司</w:t>
            </w:r>
          </w:p>
          <w:p>
            <w:pPr>
              <w:pStyle w:val="2"/>
              <w:rPr>
                <w:lang w:val="de-DE" w:eastAsia="ja-JP"/>
              </w:rPr>
            </w:pPr>
            <w:r>
              <w:t>山东省青岛市黄岛区海滨工业园</w:t>
            </w:r>
          </w:p>
        </w:tc>
        <w:tc>
          <w:tcPr>
            <w:tcW w:w="2267" w:type="dxa"/>
          </w:tcPr>
          <w:p>
            <w:pPr>
              <w:rPr>
                <w:lang w:val="de-DE" w:eastAsia="ja-JP"/>
              </w:rPr>
            </w:pPr>
            <w:r>
              <w:t>山东省青岛市黄岛区海滨工业园寨子山路358号</w:t>
            </w:r>
          </w:p>
        </w:tc>
        <w:tc>
          <w:tcPr>
            <w:tcW w:w="571" w:type="dxa"/>
            <w:vAlign w:val="center"/>
          </w:tcPr>
          <w:p>
            <w:pPr>
              <w:rPr>
                <w:rFonts w:hint="default" w:eastAsia="宋体"/>
                <w:lang w:val="en-US" w:eastAsia="zh-CN"/>
              </w:rPr>
            </w:pPr>
            <w:r>
              <w:rPr>
                <w:rFonts w:hint="eastAsia"/>
                <w:lang w:val="en-US" w:eastAsia="zh-CN"/>
              </w:rPr>
              <w:t>18</w:t>
            </w:r>
          </w:p>
        </w:tc>
        <w:tc>
          <w:tcPr>
            <w:tcW w:w="2479" w:type="dxa"/>
            <w:vAlign w:val="center"/>
          </w:tcPr>
          <w:p>
            <w:pPr>
              <w:rPr>
                <w:sz w:val="20"/>
              </w:rPr>
            </w:pPr>
            <w:r>
              <w:rPr>
                <w:sz w:val="20"/>
              </w:rPr>
              <w:t>Q：石墨复合接地体和铜覆钢接地极的生产和销售</w:t>
            </w:r>
          </w:p>
          <w:p>
            <w:pPr>
              <w:rPr>
                <w:lang w:eastAsia="ja-JP"/>
              </w:rPr>
            </w:pPr>
            <w:r>
              <w:rPr>
                <w:sz w:val="20"/>
              </w:rPr>
              <w:t>O：石墨复合接地体和铜覆钢接地极的生产和销售所涉及场所相关的职业健康安全管理活动</w:t>
            </w:r>
          </w:p>
        </w:tc>
        <w:tc>
          <w:tcPr>
            <w:tcW w:w="1125" w:type="dxa"/>
            <w:vAlign w:val="center"/>
          </w:tcPr>
          <w:p>
            <w:pPr>
              <w:rPr>
                <w:rFonts w:hint="eastAsia"/>
              </w:rPr>
            </w:pPr>
            <w:r>
              <w:rPr>
                <w:rFonts w:hint="eastAsia"/>
                <w:lang w:val="de-DE"/>
              </w:rPr>
              <w:t>■GB/T19001-2016</w:t>
            </w:r>
            <w:r>
              <w:rPr>
                <w:rFonts w:hint="eastAsia"/>
              </w:rPr>
              <w:t xml:space="preserve">  </w:t>
            </w:r>
          </w:p>
          <w:p>
            <w:pPr>
              <w:rPr>
                <w:lang w:val="de-DE"/>
              </w:rPr>
            </w:pPr>
            <w:r>
              <w:rPr>
                <w:rFonts w:hint="eastAsia"/>
                <w:lang w:val="de-DE"/>
              </w:rPr>
              <w:t>■</w:t>
            </w:r>
            <w:r>
              <w:rPr>
                <w:rFonts w:hint="eastAsia"/>
              </w:rPr>
              <w:t>GB/T 45001-2020</w:t>
            </w:r>
          </w:p>
          <w:p>
            <w:pPr>
              <w:rPr>
                <w:lang w:eastAsia="ja-JP"/>
              </w:rPr>
            </w:pPr>
          </w:p>
        </w:tc>
        <w:tc>
          <w:tcPr>
            <w:tcW w:w="536"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79" w:type="dxa"/>
            <w:vAlign w:val="center"/>
          </w:tcPr>
          <w:p>
            <w:pPr>
              <w:rPr>
                <w:lang w:eastAsia="ja-JP"/>
              </w:rPr>
            </w:pPr>
          </w:p>
        </w:tc>
        <w:tc>
          <w:tcPr>
            <w:tcW w:w="1125" w:type="dxa"/>
            <w:vAlign w:val="center"/>
          </w:tcPr>
          <w:p>
            <w:pPr>
              <w:rPr>
                <w:lang w:eastAsia="ja-JP"/>
              </w:rPr>
            </w:pPr>
          </w:p>
        </w:tc>
        <w:tc>
          <w:tcPr>
            <w:tcW w:w="536"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2021-N1QMS-6043149</w:t>
            </w:r>
          </w:p>
          <w:p>
            <w:r>
              <w:t>2020-N1OHSMS-3043149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组员</w:t>
            </w:r>
          </w:p>
        </w:tc>
        <w:tc>
          <w:tcPr>
            <w:tcW w:w="711" w:type="dxa"/>
            <w:vAlign w:val="center"/>
          </w:tcPr>
          <w:p>
            <w:r>
              <w:t>女</w:t>
            </w:r>
          </w:p>
        </w:tc>
        <w:tc>
          <w:tcPr>
            <w:tcW w:w="3870" w:type="dxa"/>
            <w:vAlign w:val="center"/>
          </w:tcPr>
          <w:p>
            <w:r>
              <w:t>2021-N1QMS-2222792</w:t>
            </w:r>
          </w:p>
          <w:p>
            <w:r>
              <w:t>2021-N1OHSMS-2222792</w:t>
            </w:r>
          </w:p>
        </w:tc>
        <w:tc>
          <w:tcPr>
            <w:tcW w:w="2179" w:type="dxa"/>
            <w:vAlign w:val="center"/>
          </w:tcPr>
          <w:p>
            <w:pPr>
              <w:jc w:val="left"/>
              <w:rPr>
                <w:sz w:val="20"/>
              </w:rPr>
            </w:pPr>
            <w:r>
              <w:rPr>
                <w:sz w:val="20"/>
              </w:rPr>
              <w:t>Q：15.06.02;19.11.03</w:t>
            </w:r>
          </w:p>
          <w:p>
            <w:r>
              <w:rPr>
                <w:sz w:val="20"/>
              </w:rPr>
              <w:t>O：15.06.02;19.11.03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pStyle w:val="4"/>
      </w:pPr>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□EcMS□EMS</w:t>
      </w:r>
      <w:r>
        <w:rPr>
          <w:rFonts w:hint="eastAsia"/>
          <w:lang w:val="de-DE"/>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pPr>
              <w:rPr>
                <w:rFonts w:hint="default" w:eastAsia="宋体"/>
                <w:lang w:val="en-US" w:eastAsia="zh-CN"/>
              </w:rPr>
            </w:pPr>
            <w:r>
              <w:rPr>
                <w:rFonts w:hint="eastAsia"/>
              </w:rPr>
              <w:t>□体系建立以来□定期（近一年）</w:t>
            </w:r>
            <w:r>
              <w:rPr>
                <w:rFonts w:hint="eastAsia"/>
                <w:lang w:val="de-DE"/>
              </w:rPr>
              <w:t>■</w:t>
            </w:r>
            <w:r>
              <w:rPr>
                <w:rFonts w:hint="eastAsia"/>
              </w:rPr>
              <w:t>其他</w:t>
            </w:r>
            <w:r>
              <w:rPr>
                <w:rFonts w:hint="eastAsia"/>
                <w:lang w:val="en-US" w:eastAsia="zh-CN"/>
              </w:rPr>
              <w:t xml:space="preserve"> 扩项</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Pr>
        <w:pStyle w:val="4"/>
        <w:rPr>
          <w:color w:val="0000FF"/>
        </w:rPr>
      </w:pPr>
    </w:p>
    <w:p>
      <w:pPr>
        <w:rPr>
          <w:color w:val="0000FF"/>
        </w:rPr>
      </w:pPr>
      <w:r>
        <w:rPr>
          <w:rFonts w:hint="eastAsia"/>
          <w:color w:val="0000FF"/>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sym w:font="Wingdings 2" w:char="00A3"/>
            </w:r>
            <w:r>
              <w:rPr>
                <w:rFonts w:hint="eastAsia"/>
              </w:rPr>
              <w:t>验证合格</w:t>
            </w:r>
            <w:r>
              <w:rPr>
                <w:rFonts w:hint="eastAsia"/>
              </w:rPr>
              <w:sym w:font="Wingdings 2" w:char="00A3"/>
            </w:r>
            <w:r>
              <w:rPr>
                <w:rFonts w:hint="eastAsia"/>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lang w:val="de-DE"/>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6"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95250</wp:posOffset>
                  </wp:positionH>
                  <wp:positionV relativeFrom="paragraph">
                    <wp:posOffset>32385</wp:posOffset>
                  </wp:positionV>
                  <wp:extent cx="654050" cy="296545"/>
                  <wp:effectExtent l="0" t="0" r="12700" b="8255"/>
                  <wp:wrapNone/>
                  <wp:docPr id="1" name="图片 1" descr="88e5bd74e8466eb5ea30d6d5988e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e5bd74e8466eb5ea30d6d5988ec24"/>
                          <pic:cNvPicPr>
                            <a:picLocks noChangeAspect="1"/>
                          </pic:cNvPicPr>
                        </pic:nvPicPr>
                        <pic:blipFill>
                          <a:blip r:embed="rId6"/>
                          <a:stretch>
                            <a:fillRect/>
                          </a:stretch>
                        </pic:blipFill>
                        <pic:spPr>
                          <a:xfrm>
                            <a:off x="0" y="0"/>
                            <a:ext cx="654050" cy="296545"/>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2022.7.26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47"/>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shd w:val="clear" w:color="auto" w:fill="C7DAF1" w:themeFill="text2" w:themeFillTint="32"/>
          </w:tcPr>
          <w:p>
            <w:pPr>
              <w:shd w:val="clear" w:color="auto" w:fill="C7DAF1" w:themeFill="text2" w:themeFillTint="32"/>
            </w:pPr>
            <w:r>
              <w:rPr>
                <w:rFonts w:hint="eastAsia"/>
              </w:rPr>
              <w:t>审核周期</w:t>
            </w:r>
          </w:p>
        </w:tc>
        <w:tc>
          <w:tcPr>
            <w:tcW w:w="9015"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shd w:val="clear" w:color="auto" w:fill="C7DAF1" w:themeFill="text2" w:themeFillTint="32"/>
          </w:tcPr>
          <w:p>
            <w:pPr>
              <w:shd w:val="clear" w:color="auto" w:fill="C7DAF1" w:themeFill="text2" w:themeFillTint="32"/>
            </w:pPr>
            <w:r>
              <w:rPr>
                <w:rFonts w:hint="eastAsia"/>
              </w:rPr>
              <w:t>体系要素</w:t>
            </w:r>
          </w:p>
        </w:tc>
        <w:tc>
          <w:tcPr>
            <w:tcW w:w="9015"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restart"/>
            <w:shd w:val="clear" w:color="auto" w:fill="C7DAF1" w:themeFill="text2" w:themeFillTint="32"/>
          </w:tcPr>
          <w:p>
            <w:pPr>
              <w:shd w:val="clear" w:color="auto" w:fill="C7DAF1" w:themeFill="text2" w:themeFillTint="32"/>
            </w:pPr>
            <w:r>
              <w:rPr>
                <w:rFonts w:hint="eastAsia"/>
              </w:rPr>
              <w:t>组织环境</w:t>
            </w:r>
          </w:p>
        </w:tc>
        <w:tc>
          <w:tcPr>
            <w:tcW w:w="9015"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w:t>
                  </w:r>
                  <w:r>
                    <w:rPr>
                      <w:rFonts w:hint="eastAsia"/>
                    </w:rPr>
                    <w:sym w:font="Wingdings 2" w:char="00A3"/>
                  </w:r>
                  <w:r>
                    <w:rPr>
                      <w:rFonts w:hint="eastAsia"/>
                    </w:rPr>
                    <w:t xml:space="preserve">技术 ■竞争 ■市场 </w:t>
                  </w:r>
                  <w:r>
                    <w:rPr>
                      <w:rFonts w:hint="eastAsia"/>
                    </w:rPr>
                    <w:sym w:font="Wingdings 2" w:char="00A3"/>
                  </w:r>
                  <w:r>
                    <w:rPr>
                      <w:rFonts w:hint="eastAsia"/>
                    </w:rPr>
                    <w:t xml:space="preserve">文化 </w:t>
                  </w:r>
                  <w:r>
                    <w:rPr>
                      <w:rFonts w:hint="eastAsia"/>
                    </w:rPr>
                    <w:sym w:font="Wingdings 2" w:char="00A3"/>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w:t>
                  </w:r>
                  <w:r>
                    <w:rPr>
                      <w:rFonts w:hint="eastAsia"/>
                    </w:rPr>
                    <w:sym w:font="Wingdings 2" w:char="00A3"/>
                  </w:r>
                  <w:r>
                    <w:rPr>
                      <w:rFonts w:hint="eastAsia"/>
                    </w:rPr>
                    <w:t xml:space="preserve">知识 ■绩效 </w:t>
                  </w:r>
                  <w:r>
                    <w:rPr>
                      <w:rFonts w:hint="eastAsia"/>
                    </w:rPr>
                    <w:sym w:font="Wingdings 2" w:char="00A3"/>
                  </w:r>
                  <w:r>
                    <w:rPr>
                      <w:rFonts w:hint="eastAsia"/>
                    </w:rPr>
                    <w:t xml:space="preserve">工艺 ■设备 </w:t>
                  </w:r>
                  <w:r>
                    <w:rPr>
                      <w:rFonts w:hint="eastAsia"/>
                    </w:rPr>
                    <w:sym w:font="Wingdings 2" w:char="00A3"/>
                  </w:r>
                  <w:r>
                    <w:rPr>
                      <w:rFonts w:hint="eastAsia"/>
                    </w:rPr>
                    <w:t xml:space="preserve">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w:t>
            </w:r>
            <w:r>
              <w:rPr>
                <w:rFonts w:hint="eastAsia"/>
              </w:rPr>
              <w:sym w:font="Wingdings 2" w:char="00A3"/>
            </w:r>
            <w:r>
              <w:rPr>
                <w:rFonts w:hint="eastAsia"/>
              </w:rPr>
              <w:t>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领导作用</w:t>
            </w:r>
          </w:p>
        </w:tc>
        <w:tc>
          <w:tcPr>
            <w:tcW w:w="9015"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rPr>
                <w:rFonts w:hint="eastAsia"/>
                <w:sz w:val="21"/>
                <w:szCs w:val="21"/>
                <w:u w:val="single"/>
              </w:rPr>
            </w:pPr>
            <w:r>
              <w:rPr>
                <w:rFonts w:hint="eastAsia"/>
                <w:lang w:val="en-GB"/>
              </w:rPr>
              <w:t>最高管理者制定了文件化的管理体系方针：</w:t>
            </w:r>
            <w:r>
              <w:rPr>
                <w:rFonts w:hint="eastAsia"/>
                <w:u w:val="single"/>
                <w:lang w:val="en-GB"/>
              </w:rPr>
              <w:t xml:space="preserve"> </w:t>
            </w:r>
            <w:r>
              <w:rPr>
                <w:rFonts w:hint="eastAsia" w:ascii="宋体" w:hAnsi="宋体"/>
                <w:sz w:val="21"/>
                <w:szCs w:val="21"/>
                <w:u w:val="single"/>
              </w:rPr>
              <w:t>求实创新，可靠适用，及时周到，顾客满意</w:t>
            </w:r>
            <w:r>
              <w:rPr>
                <w:rFonts w:hint="eastAsia"/>
                <w:sz w:val="21"/>
                <w:szCs w:val="21"/>
                <w:u w:val="single"/>
              </w:rPr>
              <w:t xml:space="preserve">     </w:t>
            </w:r>
          </w:p>
          <w:p>
            <w:pPr>
              <w:pStyle w:val="4"/>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color w:val="auto"/>
              </w:rPr>
              <w:t>策划</w:t>
            </w:r>
          </w:p>
        </w:tc>
        <w:tc>
          <w:tcPr>
            <w:tcW w:w="9015"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24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pPr>
                  <w:r>
                    <w:rPr>
                      <w:rFonts w:hint="eastAsia"/>
                    </w:rPr>
                    <w:t>主要</w:t>
                  </w:r>
                  <w:r>
                    <w:rPr>
                      <w:rFonts w:hint="eastAsia"/>
                      <w:highlight w:val="none"/>
                    </w:rPr>
                    <w:t>的风险或机遇描</w:t>
                  </w:r>
                  <w:r>
                    <w:rPr>
                      <w:rFonts w:hint="eastAsia"/>
                    </w:rPr>
                    <w:t>述</w:t>
                  </w:r>
                </w:p>
              </w:tc>
              <w:tc>
                <w:tcPr>
                  <w:tcW w:w="324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bCs/>
                      <w:sz w:val="18"/>
                      <w:szCs w:val="18"/>
                      <w:lang w:val="en-US" w:eastAsia="zh-CN"/>
                    </w:rPr>
                  </w:pPr>
                  <w:r>
                    <w:rPr>
                      <w:rFonts w:hint="eastAsia"/>
                      <w:b/>
                      <w:bCs/>
                      <w:sz w:val="18"/>
                      <w:szCs w:val="18"/>
                      <w:lang w:val="en-US" w:eastAsia="zh-CN"/>
                    </w:rPr>
                    <w:t>客户：</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val="0"/>
                      <w:bCs w:val="0"/>
                      <w:sz w:val="18"/>
                      <w:szCs w:val="18"/>
                      <w:lang w:val="en-US" w:eastAsia="zh-CN"/>
                    </w:rPr>
                  </w:pPr>
                  <w:r>
                    <w:rPr>
                      <w:rFonts w:hint="eastAsia"/>
                      <w:b/>
                      <w:bCs/>
                      <w:sz w:val="18"/>
                      <w:szCs w:val="18"/>
                    </w:rPr>
                    <w:t>机遇：</w:t>
                  </w:r>
                  <w:r>
                    <w:rPr>
                      <w:rFonts w:hint="eastAsia"/>
                      <w:b w:val="0"/>
                      <w:bCs w:val="0"/>
                      <w:sz w:val="18"/>
                      <w:szCs w:val="18"/>
                      <w:lang w:val="en-US" w:eastAsia="zh-CN"/>
                    </w:rPr>
                    <w:t>满足客户需求，增加与客户沟通频次</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eastAsia="宋体"/>
                      <w:lang w:val="en-US" w:eastAsia="zh-CN"/>
                    </w:rPr>
                  </w:pPr>
                  <w:r>
                    <w:rPr>
                      <w:rFonts w:hint="eastAsia"/>
                      <w:b/>
                      <w:bCs/>
                      <w:sz w:val="18"/>
                      <w:szCs w:val="18"/>
                      <w:lang w:val="en-US" w:eastAsia="zh-CN"/>
                    </w:rPr>
                    <w:t>风险</w:t>
                  </w:r>
                  <w:r>
                    <w:rPr>
                      <w:rFonts w:hint="eastAsia"/>
                      <w:b w:val="0"/>
                      <w:bCs w:val="0"/>
                      <w:sz w:val="18"/>
                      <w:szCs w:val="18"/>
                      <w:lang w:val="en-US" w:eastAsia="zh-CN"/>
                    </w:rPr>
                    <w:t>：</w:t>
                  </w:r>
                  <w:r>
                    <w:rPr>
                      <w:rFonts w:hint="eastAsia" w:ascii="Times New Roman" w:hAnsi="Times New Roman" w:eastAsia="宋体" w:cs="Times New Roman"/>
                      <w:b w:val="0"/>
                      <w:bCs w:val="0"/>
                      <w:spacing w:val="0"/>
                      <w:kern w:val="2"/>
                      <w:sz w:val="18"/>
                      <w:szCs w:val="18"/>
                      <w:lang w:val="en-US" w:eastAsia="zh-CN" w:bidi="ar-SA"/>
                    </w:rPr>
                    <w:t>签订合同或协议后，客户不按时间节点付款</w:t>
                  </w:r>
                </w:p>
              </w:tc>
              <w:tc>
                <w:tcPr>
                  <w:tcW w:w="3249" w:type="dxa"/>
                </w:tcPr>
                <w:p>
                  <w:pPr>
                    <w:shd w:val="clear" w:color="auto" w:fill="C7DAF1" w:themeFill="text2" w:themeFillTint="32"/>
                    <w:rPr>
                      <w:rFonts w:hint="eastAsia"/>
                      <w:lang w:val="en-US" w:eastAsia="zh-CN"/>
                    </w:rPr>
                  </w:pPr>
                </w:p>
                <w:p>
                  <w:pPr>
                    <w:numPr>
                      <w:ilvl w:val="0"/>
                      <w:numId w:val="2"/>
                    </w:numPr>
                    <w:shd w:val="clear" w:color="auto" w:fill="C7DAF1" w:themeFill="text2" w:themeFillTint="32"/>
                    <w:rPr>
                      <w:rFonts w:hint="eastAsia"/>
                      <w:sz w:val="18"/>
                      <w:szCs w:val="18"/>
                      <w:lang w:val="en-US" w:eastAsia="zh-CN"/>
                    </w:rPr>
                  </w:pPr>
                  <w:r>
                    <w:rPr>
                      <w:rFonts w:hint="eastAsia"/>
                      <w:sz w:val="18"/>
                      <w:szCs w:val="18"/>
                      <w:lang w:val="en-US" w:eastAsia="zh-CN"/>
                    </w:rPr>
                    <w:t>合同违约约束；</w:t>
                  </w:r>
                </w:p>
                <w:p>
                  <w:pPr>
                    <w:pStyle w:val="2"/>
                    <w:numPr>
                      <w:ilvl w:val="0"/>
                      <w:numId w:val="2"/>
                    </w:numPr>
                    <w:rPr>
                      <w:rFonts w:hint="default"/>
                      <w:sz w:val="18"/>
                      <w:szCs w:val="18"/>
                      <w:lang w:val="en-US" w:eastAsia="zh-CN"/>
                    </w:rPr>
                  </w:pPr>
                  <w:r>
                    <w:rPr>
                      <w:rFonts w:hint="eastAsia"/>
                      <w:sz w:val="18"/>
                      <w:szCs w:val="18"/>
                      <w:lang w:val="en-US" w:eastAsia="zh-CN"/>
                    </w:rPr>
                    <w:t>制定交付要求；</w:t>
                  </w:r>
                </w:p>
                <w:p>
                  <w:pPr>
                    <w:pStyle w:val="2"/>
                    <w:numPr>
                      <w:ilvl w:val="0"/>
                      <w:numId w:val="2"/>
                    </w:numPr>
                    <w:rPr>
                      <w:rFonts w:hint="default"/>
                      <w:lang w:val="en-US" w:eastAsia="zh-CN"/>
                    </w:rPr>
                  </w:pPr>
                  <w:r>
                    <w:rPr>
                      <w:rFonts w:hint="eastAsia"/>
                      <w:sz w:val="18"/>
                      <w:szCs w:val="18"/>
                      <w:lang w:val="en-US" w:eastAsia="zh-CN"/>
                    </w:rPr>
                    <w:t>业务人员与客户多交流和催促；</w:t>
                  </w:r>
                </w:p>
              </w:tc>
              <w:tc>
                <w:tcPr>
                  <w:tcW w:w="1717" w:type="dxa"/>
                </w:tcPr>
                <w:p>
                  <w:pPr>
                    <w:shd w:val="clear" w:color="auto" w:fill="C7DAF1" w:themeFill="text2" w:themeFillTint="32"/>
                    <w:rPr>
                      <w:rFonts w:hint="default" w:eastAsia="宋体"/>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top"/>
                </w:tcPr>
                <w:p>
                  <w:pPr>
                    <w:rPr>
                      <w:rFonts w:hint="default"/>
                      <w:b/>
                      <w:bCs/>
                      <w:lang w:val="en-US" w:eastAsia="zh-CN"/>
                    </w:rPr>
                  </w:pPr>
                  <w:r>
                    <w:rPr>
                      <w:rFonts w:hint="eastAsia"/>
                      <w:b/>
                      <w:bCs/>
                      <w:lang w:val="en-US" w:eastAsia="zh-CN"/>
                    </w:rPr>
                    <w:t>客户需求：</w:t>
                  </w:r>
                </w:p>
                <w:p>
                  <w:pPr>
                    <w:rPr>
                      <w:rFonts w:hint="default" w:eastAsia="宋体"/>
                      <w:lang w:val="en-US" w:eastAsia="zh-CN"/>
                    </w:rPr>
                  </w:pPr>
                  <w:r>
                    <w:rPr>
                      <w:rFonts w:hint="eastAsia"/>
                    </w:rPr>
                    <w:t>机遇：</w:t>
                  </w:r>
                  <w:r>
                    <w:rPr>
                      <w:rFonts w:hint="eastAsia"/>
                      <w:lang w:val="en-US" w:eastAsia="zh-CN"/>
                    </w:rPr>
                    <w:t>准确识别客户需求，关注细节，增加确认；评审准确、充分</w:t>
                  </w:r>
                </w:p>
                <w:p>
                  <w:pPr>
                    <w:rPr>
                      <w:rFonts w:hint="eastAsia" w:eastAsia="宋体"/>
                      <w:lang w:eastAsia="zh-CN"/>
                    </w:rPr>
                  </w:pPr>
                  <w:r>
                    <w:rPr>
                      <w:rFonts w:hint="eastAsia"/>
                    </w:rPr>
                    <w:t>风险：合同评审不到位，部分条款满足不能实现</w:t>
                  </w:r>
                  <w:r>
                    <w:rPr>
                      <w:rFonts w:hint="eastAsia"/>
                      <w:lang w:eastAsia="zh-CN"/>
                    </w:rPr>
                    <w:t>；</w:t>
                  </w:r>
                </w:p>
                <w:p>
                  <w:pPr>
                    <w:pStyle w:val="4"/>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21"/>
                      <w:szCs w:val="24"/>
                      <w:lang w:val="en-US" w:eastAsia="zh-CN" w:bidi="ar-SA"/>
                    </w:rPr>
                    <w:t>客户需求分析不到位，遗漏细节和参数。</w:t>
                  </w:r>
                </w:p>
              </w:tc>
              <w:tc>
                <w:tcPr>
                  <w:tcW w:w="3249" w:type="dxa"/>
                  <w:vAlign w:val="center"/>
                </w:tcPr>
                <w:p>
                  <w:pPr>
                    <w:numPr>
                      <w:ilvl w:val="0"/>
                      <w:numId w:val="3"/>
                    </w:numPr>
                    <w:rPr>
                      <w:rFonts w:hint="eastAsia" w:ascii="Times New Roman" w:hAnsi="Times New Roman" w:eastAsia="宋体" w:cs="Times New Roman"/>
                      <w:b w:val="0"/>
                      <w:bCs w:val="0"/>
                      <w:sz w:val="18"/>
                      <w:szCs w:val="18"/>
                    </w:rPr>
                  </w:pPr>
                  <w:r>
                    <w:rPr>
                      <w:rFonts w:hint="eastAsia" w:cs="Times New Roman"/>
                      <w:b w:val="0"/>
                      <w:bCs w:val="0"/>
                      <w:sz w:val="18"/>
                      <w:szCs w:val="18"/>
                      <w:lang w:val="en-US" w:eastAsia="zh-CN"/>
                    </w:rPr>
                    <w:t>明确顾客需求，不断提高满意</w:t>
                  </w:r>
                </w:p>
                <w:p>
                  <w:pPr>
                    <w:numPr>
                      <w:ilvl w:val="0"/>
                      <w:numId w:val="3"/>
                    </w:numPr>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相关人员参加合同评审，确保评审准确和充分</w:t>
                  </w:r>
                </w:p>
                <w:p>
                  <w:pPr>
                    <w:numPr>
                      <w:ilvl w:val="0"/>
                      <w:numId w:val="3"/>
                    </w:numPr>
                    <w:ind w:left="0" w:lef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b w:val="0"/>
                      <w:bCs w:val="0"/>
                      <w:sz w:val="18"/>
                      <w:szCs w:val="18"/>
                    </w:rPr>
                    <w:t>加大客户交流沟通，及时处理客户的需求和意见</w:t>
                  </w:r>
                </w:p>
              </w:tc>
              <w:tc>
                <w:tcPr>
                  <w:tcW w:w="1717" w:type="dxa"/>
                  <w:vAlign w:val="top"/>
                </w:tcPr>
                <w:p>
                  <w:pPr>
                    <w:shd w:val="clear" w:color="auto" w:fill="C7DAF1" w:themeFill="text2"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bCs/>
                      <w:sz w:val="18"/>
                      <w:szCs w:val="18"/>
                      <w:lang w:val="en-US" w:eastAsia="zh-CN"/>
                    </w:rPr>
                  </w:pPr>
                  <w:r>
                    <w:rPr>
                      <w:rFonts w:hint="eastAsia"/>
                      <w:b/>
                      <w:bCs/>
                      <w:sz w:val="18"/>
                      <w:szCs w:val="18"/>
                      <w:lang w:val="en-US" w:eastAsia="zh-CN"/>
                    </w:rPr>
                    <w:t>员工：</w:t>
                  </w:r>
                </w:p>
                <w:p>
                  <w:pPr>
                    <w:shd w:val="clear" w:color="auto" w:fill="C7DAF1" w:themeFill="text2" w:themeFillTint="32"/>
                    <w:rPr>
                      <w:rFonts w:hint="eastAsia"/>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增加培训和教育频次，严格考核机制。</w:t>
                  </w:r>
                </w:p>
                <w:p>
                  <w:pPr>
                    <w:shd w:val="clear" w:color="auto" w:fill="C7DAF1" w:themeFill="text2" w:themeFillTint="32"/>
                    <w:rPr>
                      <w:rFonts w:hint="default"/>
                      <w:b/>
                      <w:bCs/>
                      <w:lang w:val="en-US" w:eastAsia="zh-CN"/>
                    </w:rPr>
                  </w:pPr>
                  <w:r>
                    <w:rPr>
                      <w:rFonts w:hint="eastAsia"/>
                      <w:b/>
                      <w:bCs/>
                      <w:sz w:val="18"/>
                      <w:szCs w:val="18"/>
                      <w:lang w:val="en-US" w:eastAsia="zh-CN"/>
                    </w:rPr>
                    <w:t>风险：</w:t>
                  </w:r>
                  <w:r>
                    <w:rPr>
                      <w:rFonts w:hint="eastAsia" w:ascii="Times New Roman" w:hAnsi="Times New Roman" w:eastAsia="宋体" w:cs="Times New Roman"/>
                      <w:b w:val="0"/>
                      <w:bCs w:val="0"/>
                      <w:sz w:val="18"/>
                      <w:szCs w:val="18"/>
                      <w:lang w:val="en-US" w:eastAsia="zh-CN"/>
                    </w:rPr>
                    <w:t>员工质量及服务意识不强；人员工作态度、技术水平不足</w:t>
                  </w:r>
                </w:p>
              </w:tc>
              <w:tc>
                <w:tcPr>
                  <w:tcW w:w="3249" w:type="dxa"/>
                </w:tcPr>
                <w:p>
                  <w:pPr>
                    <w:shd w:val="clear" w:color="auto" w:fill="C7DAF1" w:themeFill="text2" w:themeFillTint="32"/>
                    <w:jc w:val="left"/>
                    <w:rPr>
                      <w:rFonts w:hint="eastAsia"/>
                      <w:lang w:val="en-US" w:eastAsia="zh-CN"/>
                    </w:rPr>
                  </w:pPr>
                  <w:r>
                    <w:rPr>
                      <w:rFonts w:hint="eastAsia"/>
                      <w:lang w:val="en-US" w:eastAsia="zh-CN"/>
                    </w:rPr>
                    <w:t>采取的适当措施可包括对在职人员进行培训、辅导或重新分配工作，或者招聘具备能力的人员等。</w:t>
                  </w:r>
                </w:p>
                <w:p>
                  <w:pPr>
                    <w:pStyle w:val="4"/>
                    <w:jc w:val="left"/>
                    <w:rPr>
                      <w:rFonts w:hint="default"/>
                      <w:lang w:val="en-US" w:eastAsia="zh-CN"/>
                    </w:rPr>
                  </w:pPr>
                  <w:r>
                    <w:rPr>
                      <w:rFonts w:hint="eastAsia" w:ascii="Times New Roman" w:hAnsi="Times New Roman" w:eastAsia="宋体" w:cs="Times New Roman"/>
                      <w:b w:val="0"/>
                      <w:bCs w:val="0"/>
                      <w:spacing w:val="10"/>
                      <w:kern w:val="2"/>
                      <w:sz w:val="18"/>
                      <w:szCs w:val="18"/>
                      <w:lang w:val="en-US" w:eastAsia="zh-CN" w:bidi="ar-SA"/>
                    </w:rPr>
                    <w:t>加大监管和考核力度。</w:t>
                  </w:r>
                </w:p>
              </w:tc>
              <w:tc>
                <w:tcPr>
                  <w:tcW w:w="1717" w:type="dxa"/>
                </w:tcPr>
                <w:p>
                  <w:pPr>
                    <w:shd w:val="clear" w:color="auto" w:fill="C7DAF1" w:themeFill="text2" w:themeFillTint="32"/>
                    <w:rPr>
                      <w:rFonts w:hint="default"/>
                      <w:b/>
                      <w:bCs/>
                      <w:lang w:val="en-US" w:eastAsia="zh-CN"/>
                    </w:rPr>
                  </w:pPr>
                  <w:r>
                    <w:rPr>
                      <w:rFonts w:hint="eastAsia" w:ascii="Times New Roman" w:hAnsi="Times New Roman" w:eastAsia="宋体" w:cs="Times New Roman"/>
                      <w:b w:val="0"/>
                      <w:bCs w:val="0"/>
                      <w:spacing w:val="10"/>
                      <w:kern w:val="2"/>
                      <w:sz w:val="18"/>
                      <w:szCs w:val="18"/>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556" w:type="dxa"/>
                  <w:vAlign w:val="center"/>
                </w:tcPr>
                <w:p>
                  <w:pPr>
                    <w:rPr>
                      <w:rFonts w:hint="eastAsia"/>
                      <w:b/>
                      <w:sz w:val="18"/>
                      <w:szCs w:val="18"/>
                      <w:lang w:val="en-US" w:eastAsia="zh-CN"/>
                    </w:rPr>
                  </w:pPr>
                  <w:r>
                    <w:rPr>
                      <w:rFonts w:hint="eastAsia"/>
                      <w:b/>
                      <w:sz w:val="18"/>
                      <w:szCs w:val="18"/>
                      <w:lang w:val="en-US" w:eastAsia="zh-CN"/>
                    </w:rPr>
                    <w:t>设备设施：</w:t>
                  </w:r>
                </w:p>
                <w:p>
                  <w:pPr>
                    <w:rPr>
                      <w:rFonts w:hint="default" w:eastAsia="宋体"/>
                      <w:sz w:val="18"/>
                      <w:szCs w:val="18"/>
                      <w:lang w:val="en-US" w:eastAsia="zh-CN"/>
                    </w:rPr>
                  </w:pPr>
                  <w:r>
                    <w:rPr>
                      <w:rFonts w:hint="eastAsia"/>
                      <w:b/>
                      <w:sz w:val="18"/>
                      <w:szCs w:val="18"/>
                    </w:rPr>
                    <w:t>机遇：</w:t>
                  </w:r>
                  <w:r>
                    <w:rPr>
                      <w:rFonts w:hint="eastAsia"/>
                      <w:b w:val="0"/>
                      <w:bCs/>
                      <w:sz w:val="18"/>
                      <w:szCs w:val="18"/>
                      <w:lang w:val="en-US" w:eastAsia="zh-CN"/>
                    </w:rPr>
                    <w:t>改进、提升、新增设备设施</w:t>
                  </w:r>
                </w:p>
                <w:p>
                  <w:pPr>
                    <w:rPr>
                      <w:rFonts w:hint="default" w:ascii="Times New Roman" w:hAnsi="Times New Roman" w:eastAsia="宋体" w:cs="Times New Roman"/>
                      <w:kern w:val="2"/>
                      <w:sz w:val="21"/>
                      <w:szCs w:val="24"/>
                      <w:lang w:val="en-US" w:eastAsia="zh-CN" w:bidi="ar-SA"/>
                    </w:rPr>
                  </w:pPr>
                  <w:r>
                    <w:rPr>
                      <w:rFonts w:hint="eastAsia"/>
                      <w:b/>
                      <w:sz w:val="18"/>
                      <w:szCs w:val="18"/>
                    </w:rPr>
                    <w:t>风险：</w:t>
                  </w:r>
                  <w:r>
                    <w:rPr>
                      <w:rFonts w:hint="eastAsia" w:ascii="Times New Roman" w:hAnsi="Times New Roman" w:eastAsia="宋体" w:cs="Times New Roman"/>
                      <w:sz w:val="18"/>
                      <w:szCs w:val="18"/>
                    </w:rPr>
                    <w:t>仪器设备适用性不强</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性能不稳定，能力不足</w:t>
                  </w:r>
                </w:p>
              </w:tc>
              <w:tc>
                <w:tcPr>
                  <w:tcW w:w="3249"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1、由专业人员负责结合公司实际和发展需求，设备、设施采购、配备适宜的；</w:t>
                  </w:r>
                </w:p>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2、专业人员进行日常维护保养；</w:t>
                  </w:r>
                </w:p>
                <w:p>
                  <w:pPr>
                    <w:shd w:val="clear" w:color="auto" w:fill="C7DAF1" w:themeFill="text2" w:themeFillTint="32"/>
                    <w:jc w:val="left"/>
                    <w:rPr>
                      <w:rFonts w:hint="default"/>
                      <w:lang w:val="en-US" w:eastAsia="zh-CN"/>
                    </w:rPr>
                  </w:pPr>
                  <w:r>
                    <w:rPr>
                      <w:rFonts w:hint="eastAsia" w:ascii="Times New Roman" w:hAnsi="Times New Roman" w:eastAsia="宋体" w:cs="Times New Roman"/>
                      <w:lang w:val="en-US" w:eastAsia="zh-CN"/>
                    </w:rPr>
                    <w:t>3、明确使用标准操作要求，保持性能稳定性。</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tcPr>
                <w:p>
                  <w:pPr>
                    <w:rPr>
                      <w:rFonts w:hint="default" w:ascii="Times New Roman" w:hAnsi="Times New Roman" w:eastAsia="宋体" w:cs="Times New Roman"/>
                      <w:b/>
                      <w:color w:val="auto"/>
                      <w:sz w:val="18"/>
                      <w:szCs w:val="18"/>
                      <w:lang w:val="en-US" w:eastAsia="zh-CN"/>
                    </w:rPr>
                  </w:pPr>
                  <w:r>
                    <w:rPr>
                      <w:rFonts w:hint="eastAsia" w:ascii="Times New Roman" w:hAnsi="Times New Roman" w:eastAsia="宋体" w:cs="Times New Roman"/>
                      <w:b/>
                      <w:color w:val="auto"/>
                      <w:sz w:val="18"/>
                      <w:szCs w:val="18"/>
                      <w:lang w:val="en-US" w:eastAsia="zh-CN"/>
                    </w:rPr>
                    <w:t>疫情影响：</w:t>
                  </w:r>
                </w:p>
                <w:p>
                  <w:pPr>
                    <w:rPr>
                      <w:rFonts w:ascii="Times New Roman" w:hAnsi="Times New Roman" w:eastAsia="宋体" w:cs="Times New Roman"/>
                      <w:color w:val="auto"/>
                      <w:sz w:val="18"/>
                      <w:szCs w:val="18"/>
                    </w:rPr>
                  </w:pPr>
                  <w:r>
                    <w:rPr>
                      <w:rFonts w:hint="eastAsia" w:ascii="Times New Roman" w:hAnsi="Times New Roman" w:eastAsia="宋体" w:cs="Times New Roman"/>
                      <w:b/>
                      <w:color w:val="auto"/>
                      <w:sz w:val="18"/>
                      <w:szCs w:val="18"/>
                    </w:rPr>
                    <w:t>风险：</w:t>
                  </w:r>
                  <w:r>
                    <w:rPr>
                      <w:rFonts w:hint="eastAsia" w:ascii="Times New Roman" w:hAnsi="Times New Roman" w:eastAsia="宋体" w:cs="Times New Roman"/>
                      <w:color w:val="auto"/>
                      <w:sz w:val="18"/>
                      <w:szCs w:val="18"/>
                    </w:rPr>
                    <w:t>控制外来人员</w:t>
                  </w:r>
                </w:p>
                <w:p>
                  <w:pPr>
                    <w:shd w:val="clear" w:color="auto" w:fill="C7DAF1" w:themeFill="text2" w:themeFillTint="32"/>
                    <w:rPr>
                      <w:rFonts w:hint="default" w:eastAsia="宋体"/>
                      <w:sz w:val="18"/>
                      <w:szCs w:val="18"/>
                      <w:lang w:val="en-US" w:eastAsia="zh-CN"/>
                    </w:rPr>
                  </w:pPr>
                  <w:r>
                    <w:rPr>
                      <w:rFonts w:hint="eastAsia" w:ascii="Times New Roman" w:hAnsi="Times New Roman" w:eastAsia="宋体" w:cs="Times New Roman"/>
                      <w:b/>
                      <w:color w:val="auto"/>
                      <w:sz w:val="18"/>
                      <w:szCs w:val="18"/>
                    </w:rPr>
                    <w:t>机遇：</w:t>
                  </w:r>
                  <w:r>
                    <w:rPr>
                      <w:rFonts w:hint="eastAsia" w:ascii="Times New Roman" w:hAnsi="Times New Roman" w:eastAsia="宋体" w:cs="Times New Roman"/>
                      <w:color w:val="auto"/>
                      <w:sz w:val="18"/>
                      <w:szCs w:val="18"/>
                    </w:rPr>
                    <w:t>为满足顾客要求克服一切困难，赢得更多认可</w:t>
                  </w:r>
                </w:p>
              </w:tc>
              <w:tc>
                <w:tcPr>
                  <w:tcW w:w="3249" w:type="dxa"/>
                  <w:vAlign w:val="center"/>
                </w:tcPr>
                <w:p>
                  <w:pPr>
                    <w:numPr>
                      <w:ilvl w:val="0"/>
                      <w:numId w:val="0"/>
                    </w:numPr>
                    <w:ind w:firstLine="180" w:firstLineChars="100"/>
                    <w:rPr>
                      <w:rFonts w:hint="eastAsia" w:ascii="Times New Roman" w:hAnsi="Times New Roman" w:eastAsia="宋体" w:cs="Times New Roman"/>
                      <w:b w:val="0"/>
                      <w:bCs w:val="0"/>
                      <w:sz w:val="18"/>
                      <w:szCs w:val="18"/>
                    </w:rPr>
                  </w:pPr>
                  <w:r>
                    <w:rPr>
                      <w:rFonts w:hint="eastAsia" w:ascii="Times New Roman" w:hAnsi="Times New Roman" w:eastAsia="宋体" w:cs="Times New Roman"/>
                      <w:b w:val="0"/>
                      <w:bCs w:val="0"/>
                      <w:sz w:val="18"/>
                      <w:szCs w:val="18"/>
                    </w:rPr>
                    <w:t>执行法律法规及主管部门要求，掌握并做好防护；</w:t>
                  </w:r>
                </w:p>
                <w:p>
                  <w:pPr>
                    <w:numPr>
                      <w:ilvl w:val="0"/>
                      <w:numId w:val="0"/>
                    </w:numPr>
                    <w:ind w:firstLine="180" w:firstLineChars="100"/>
                    <w:rPr>
                      <w:rFonts w:hint="default" w:eastAsia="宋体"/>
                      <w:sz w:val="18"/>
                      <w:szCs w:val="18"/>
                      <w:lang w:val="en-US" w:eastAsia="zh-CN"/>
                    </w:rPr>
                  </w:pPr>
                  <w:r>
                    <w:rPr>
                      <w:rFonts w:hint="eastAsia" w:ascii="Times New Roman" w:hAnsi="Times New Roman" w:eastAsia="宋体" w:cs="Times New Roman"/>
                      <w:b w:val="0"/>
                      <w:bCs w:val="0"/>
                      <w:sz w:val="18"/>
                      <w:szCs w:val="18"/>
                    </w:rPr>
                    <w:t>配备防护消毒用品，进行</w:t>
                  </w:r>
                  <w:r>
                    <w:rPr>
                      <w:rFonts w:hint="eastAsia" w:cs="Times New Roman"/>
                      <w:b w:val="0"/>
                      <w:bCs w:val="0"/>
                      <w:sz w:val="18"/>
                      <w:szCs w:val="18"/>
                      <w:lang w:val="en-US" w:eastAsia="zh-CN"/>
                    </w:rPr>
                    <w:t>每</w:t>
                  </w:r>
                  <w:r>
                    <w:rPr>
                      <w:rFonts w:hint="eastAsia" w:ascii="Times New Roman" w:hAnsi="Times New Roman" w:eastAsia="宋体" w:cs="Times New Roman"/>
                      <w:b w:val="0"/>
                      <w:bCs w:val="0"/>
                      <w:sz w:val="18"/>
                      <w:szCs w:val="18"/>
                    </w:rPr>
                    <w:t>日体温监测均正常；限制人员只能在厂区活动，控制外来人员。</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rPr>
                      <w:rFonts w:hint="default" w:ascii="Times New Roman" w:hAnsi="Times New Roman" w:eastAsia="宋体" w:cs="Times New Roman"/>
                      <w:b/>
                      <w:color w:val="auto"/>
                      <w:sz w:val="18"/>
                      <w:szCs w:val="18"/>
                      <w:lang w:val="en-US" w:eastAsia="zh-CN"/>
                    </w:rPr>
                  </w:pPr>
                  <w:r>
                    <w:rPr>
                      <w:rFonts w:hint="eastAsia" w:ascii="Times New Roman" w:hAnsi="Times New Roman" w:eastAsia="宋体" w:cs="Times New Roman"/>
                      <w:b/>
                      <w:color w:val="auto"/>
                      <w:sz w:val="18"/>
                      <w:szCs w:val="18"/>
                      <w:lang w:val="en-US" w:eastAsia="zh-CN"/>
                    </w:rPr>
                    <w:t>主管部门监管：</w:t>
                  </w:r>
                </w:p>
                <w:p>
                  <w:pPr>
                    <w:jc w:val="both"/>
                    <w:rPr>
                      <w:rFonts w:ascii="Times New Roman" w:hAnsi="Times New Roman" w:eastAsia="宋体" w:cs="Times New Roman"/>
                      <w:sz w:val="18"/>
                      <w:szCs w:val="18"/>
                    </w:rPr>
                  </w:pPr>
                  <w:r>
                    <w:rPr>
                      <w:rFonts w:ascii="Times New Roman" w:hAnsi="Times New Roman" w:eastAsia="宋体" w:cs="Times New Roman"/>
                      <w:b/>
                      <w:sz w:val="18"/>
                      <w:szCs w:val="18"/>
                    </w:rPr>
                    <w:t>风险：</w:t>
                  </w:r>
                  <w:r>
                    <w:rPr>
                      <w:rFonts w:hint="eastAsia" w:ascii="Times New Roman" w:hAnsi="Times New Roman" w:eastAsia="宋体" w:cs="Times New Roman"/>
                      <w:sz w:val="18"/>
                      <w:szCs w:val="18"/>
                    </w:rPr>
                    <w:t>未</w:t>
                  </w:r>
                  <w:r>
                    <w:rPr>
                      <w:rFonts w:hint="eastAsia" w:cs="Times New Roman"/>
                      <w:sz w:val="18"/>
                      <w:szCs w:val="18"/>
                      <w:lang w:val="en-US" w:eastAsia="zh-CN"/>
                    </w:rPr>
                    <w:t>达到</w:t>
                  </w:r>
                  <w:r>
                    <w:rPr>
                      <w:rFonts w:hint="eastAsia" w:ascii="Times New Roman" w:hAnsi="Times New Roman" w:eastAsia="宋体" w:cs="Times New Roman"/>
                      <w:sz w:val="18"/>
                      <w:szCs w:val="18"/>
                    </w:rPr>
                    <w:t>要求</w:t>
                  </w:r>
                  <w:r>
                    <w:rPr>
                      <w:rFonts w:hint="eastAsia" w:cs="Times New Roman"/>
                      <w:sz w:val="18"/>
                      <w:szCs w:val="18"/>
                      <w:lang w:val="en-US" w:eastAsia="zh-CN"/>
                    </w:rPr>
                    <w:t>影响公事发展</w:t>
                  </w:r>
                  <w:r>
                    <w:rPr>
                      <w:rFonts w:hint="eastAsia" w:cs="Times New Roman"/>
                      <w:sz w:val="18"/>
                      <w:szCs w:val="18"/>
                      <w:lang w:eastAsia="zh-CN"/>
                    </w:rPr>
                    <w:t>、</w:t>
                  </w:r>
                  <w:r>
                    <w:rPr>
                      <w:rFonts w:hint="eastAsia" w:ascii="Times New Roman" w:hAnsi="Times New Roman" w:eastAsia="宋体" w:cs="Times New Roman"/>
                      <w:sz w:val="18"/>
                      <w:szCs w:val="18"/>
                    </w:rPr>
                    <w:t>资质</w:t>
                  </w:r>
                  <w:r>
                    <w:rPr>
                      <w:rFonts w:hint="eastAsia" w:cs="Times New Roman"/>
                      <w:sz w:val="18"/>
                      <w:szCs w:val="18"/>
                      <w:lang w:val="en-US" w:eastAsia="zh-CN"/>
                    </w:rPr>
                    <w:t>和声誉</w:t>
                  </w:r>
                  <w:r>
                    <w:rPr>
                      <w:rFonts w:hint="eastAsia" w:ascii="Times New Roman" w:hAnsi="Times New Roman" w:eastAsia="宋体" w:cs="Times New Roman"/>
                      <w:sz w:val="18"/>
                      <w:szCs w:val="18"/>
                    </w:rPr>
                    <w:t>。</w:t>
                  </w:r>
                </w:p>
                <w:p>
                  <w:pPr>
                    <w:shd w:val="clear" w:color="auto" w:fill="C7DAF1" w:themeFill="text2" w:themeFillTint="32"/>
                    <w:rPr>
                      <w:rFonts w:hint="default" w:eastAsia="宋体"/>
                      <w:sz w:val="18"/>
                      <w:szCs w:val="18"/>
                      <w:lang w:val="en-US" w:eastAsia="zh-CN"/>
                    </w:rPr>
                  </w:pPr>
                  <w:r>
                    <w:rPr>
                      <w:rFonts w:ascii="Times New Roman" w:hAnsi="Times New Roman" w:eastAsia="宋体" w:cs="Times New Roman"/>
                      <w:b/>
                      <w:sz w:val="18"/>
                      <w:szCs w:val="18"/>
                    </w:rPr>
                    <w:t>机遇：</w:t>
                  </w:r>
                  <w:r>
                    <w:rPr>
                      <w:rFonts w:hint="eastAsia" w:ascii="Times New Roman" w:hAnsi="Times New Roman" w:eastAsia="宋体" w:cs="Times New Roman"/>
                      <w:sz w:val="18"/>
                      <w:szCs w:val="18"/>
                    </w:rPr>
                    <w:t>1.对公司稳定发展提供较好的环境。2.给公司带来潜在的客户</w:t>
                  </w:r>
                </w:p>
              </w:tc>
              <w:tc>
                <w:tcPr>
                  <w:tcW w:w="3249" w:type="dxa"/>
                  <w:vAlign w:val="center"/>
                </w:tcPr>
                <w:p>
                  <w:pPr>
                    <w:pStyle w:val="12"/>
                    <w:ind w:left="0" w:leftChars="0" w:firstLine="180" w:firstLineChars="10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实时关注政府</w:t>
                  </w:r>
                  <w:r>
                    <w:rPr>
                      <w:rFonts w:hint="eastAsia" w:cs="Times New Roman"/>
                      <w:sz w:val="18"/>
                      <w:szCs w:val="18"/>
                      <w:lang w:val="en-US" w:eastAsia="zh-CN"/>
                    </w:rPr>
                    <w:t>等主管部门要求，严格执行各项要求，规范生产经营</w:t>
                  </w:r>
                  <w:r>
                    <w:rPr>
                      <w:rFonts w:hint="eastAsia" w:ascii="Times New Roman" w:hAnsi="Times New Roman" w:eastAsia="宋体" w:cs="Times New Roman"/>
                      <w:sz w:val="18"/>
                      <w:szCs w:val="18"/>
                    </w:rPr>
                    <w:t>，</w:t>
                  </w:r>
                  <w:r>
                    <w:rPr>
                      <w:rFonts w:hint="eastAsia" w:cs="Times New Roman"/>
                      <w:sz w:val="18"/>
                      <w:szCs w:val="18"/>
                      <w:lang w:val="en-US" w:eastAsia="zh-CN"/>
                    </w:rPr>
                    <w:t>及时保持、</w:t>
                  </w:r>
                  <w:r>
                    <w:rPr>
                      <w:rFonts w:hint="eastAsia" w:ascii="Times New Roman" w:hAnsi="Times New Roman" w:eastAsia="宋体" w:cs="Times New Roman"/>
                      <w:sz w:val="18"/>
                      <w:szCs w:val="18"/>
                    </w:rPr>
                    <w:t>更新证件资质。</w:t>
                  </w:r>
                </w:p>
                <w:p>
                  <w:pPr>
                    <w:rPr>
                      <w:rFonts w:hint="default" w:eastAsia="宋体"/>
                      <w:sz w:val="18"/>
                      <w:szCs w:val="18"/>
                      <w:lang w:val="en-US" w:eastAsia="zh-CN"/>
                    </w:rPr>
                  </w:pP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400" w:lineRule="exact"/>
                    <w:rPr>
                      <w:rFonts w:ascii="Times New Roman" w:hAnsi="Times New Roman"/>
                      <w:bCs/>
                      <w:szCs w:val="21"/>
                    </w:rPr>
                  </w:pPr>
                  <w:r>
                    <w:rPr>
                      <w:rFonts w:ascii="Times New Roman" w:hAnsi="Times New Roman"/>
                      <w:bCs/>
                      <w:szCs w:val="21"/>
                    </w:rPr>
                    <w:t>1、</w:t>
                  </w:r>
                  <w:r>
                    <w:rPr>
                      <w:rFonts w:hint="eastAsia" w:ascii="Times New Roman" w:hAnsi="Times New Roman"/>
                      <w:bCs/>
                      <w:szCs w:val="21"/>
                    </w:rPr>
                    <w:t>产品一次性交付合格率</w:t>
                  </w:r>
                  <w:r>
                    <w:rPr>
                      <w:rFonts w:ascii="Times New Roman" w:hAnsi="Times New Roman"/>
                      <w:bCs/>
                      <w:szCs w:val="21"/>
                    </w:rPr>
                    <w:t>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检测合格数量/总数量*100%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质管部</w:t>
                  </w:r>
                </w:p>
              </w:tc>
              <w:tc>
                <w:tcPr>
                  <w:tcW w:w="1774" w:type="dxa"/>
                  <w:shd w:val="clear" w:color="auto" w:fill="auto"/>
                  <w:vAlign w:val="center"/>
                </w:tcPr>
                <w:p>
                  <w:pPr>
                    <w:shd w:val="clear" w:color="auto" w:fill="C7DAF1" w:themeFill="text2" w:themeFillTint="32"/>
                    <w:jc w:val="center"/>
                    <w:rPr>
                      <w:rFonts w:hint="default" w:ascii="宋体" w:hAnsi="宋体" w:eastAsia="宋体"/>
                      <w:color w:val="auto"/>
                      <w:lang w:val="en-US" w:eastAsia="zh-CN"/>
                    </w:rPr>
                  </w:pPr>
                  <w:r>
                    <w:rPr>
                      <w:rFonts w:hint="eastAsia" w:ascii="宋体" w:hAnsi="宋体"/>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ascii="Times New Roman" w:hAnsi="Times New Roman"/>
                      <w:bCs/>
                      <w:szCs w:val="21"/>
                    </w:rPr>
                    <w:t>2、</w:t>
                  </w:r>
                  <w:r>
                    <w:rPr>
                      <w:rFonts w:hint="eastAsia" w:ascii="Times New Roman" w:hAnsi="Times New Roman"/>
                      <w:bCs/>
                      <w:szCs w:val="21"/>
                    </w:rPr>
                    <w:t>顾客满意度≥95%</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满意指数和/总数*100%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综合办</w:t>
                  </w:r>
                </w:p>
              </w:tc>
              <w:tc>
                <w:tcPr>
                  <w:tcW w:w="1774" w:type="dxa"/>
                  <w:shd w:val="clear" w:color="auto" w:fill="auto"/>
                  <w:vAlign w:val="center"/>
                </w:tcPr>
                <w:p>
                  <w:pPr>
                    <w:shd w:val="clear" w:color="auto" w:fill="C7DAF1" w:themeFill="text2" w:themeFillTint="32"/>
                    <w:jc w:val="center"/>
                    <w:rPr>
                      <w:rFonts w:hint="default" w:ascii="宋体" w:hAnsi="宋体" w:eastAsia="宋体"/>
                      <w:color w:val="auto"/>
                      <w:lang w:val="en-US" w:eastAsia="zh-CN"/>
                    </w:rPr>
                  </w:pPr>
                  <w:r>
                    <w:rPr>
                      <w:rFonts w:hint="eastAsia" w:ascii="宋体" w:hAnsi="宋体"/>
                      <w:color w:val="auto"/>
                      <w:lang w:val="en-US" w:eastAsia="zh-CN"/>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Times New Roman" w:hAnsi="Times New Roman"/>
                      <w:bCs/>
                      <w:szCs w:val="21"/>
                    </w:rPr>
                  </w:pPr>
                  <w:r>
                    <w:rPr>
                      <w:rFonts w:hint="eastAsia"/>
                      <w:szCs w:val="21"/>
                      <w:lang w:val="en-US" w:eastAsia="zh-CN"/>
                    </w:rPr>
                    <w:t>3、</w:t>
                  </w:r>
                  <w:r>
                    <w:rPr>
                      <w:rFonts w:hint="eastAsia"/>
                      <w:szCs w:val="21"/>
                    </w:rPr>
                    <w:t>交货期满意率</w:t>
                  </w:r>
                  <w:r>
                    <w:rPr>
                      <w:szCs w:val="21"/>
                    </w:rPr>
                    <w:t>9</w:t>
                  </w:r>
                  <w:r>
                    <w:rPr>
                      <w:rFonts w:hint="eastAsia"/>
                      <w:szCs w:val="21"/>
                    </w:rPr>
                    <w:t>0％</w:t>
                  </w:r>
                </w:p>
              </w:tc>
              <w:tc>
                <w:tcPr>
                  <w:tcW w:w="3136" w:type="dxa"/>
                  <w:shd w:val="clear" w:color="auto" w:fill="auto"/>
                  <w:vAlign w:val="center"/>
                </w:tcPr>
                <w:p>
                  <w:pPr>
                    <w:shd w:val="clear" w:color="auto" w:fill="C7DAF1" w:themeFill="text2" w:themeFillTint="32"/>
                    <w:rPr>
                      <w:rFonts w:hint="eastAsia"/>
                      <w:lang w:val="en-US" w:eastAsia="zh-CN"/>
                    </w:rPr>
                  </w:pPr>
                  <w:r>
                    <w:rPr>
                      <w:rFonts w:hint="eastAsia" w:ascii="宋体" w:hAnsi="宋体"/>
                      <w:bCs/>
                      <w:color w:val="000000"/>
                      <w:szCs w:val="21"/>
                    </w:rPr>
                    <w:t>交货期满意率=交货期满意</w:t>
                  </w:r>
                  <w:r>
                    <w:rPr>
                      <w:rFonts w:ascii="宋体" w:hAnsi="宋体"/>
                      <w:bCs/>
                      <w:color w:val="000000"/>
                      <w:szCs w:val="21"/>
                    </w:rPr>
                    <w:t>数量</w:t>
                  </w:r>
                  <w:r>
                    <w:rPr>
                      <w:rFonts w:hint="eastAsia" w:ascii="宋体" w:hAnsi="宋体"/>
                      <w:bCs/>
                      <w:color w:val="000000"/>
                      <w:szCs w:val="21"/>
                    </w:rPr>
                    <w:t>/交货总数量</w:t>
                  </w:r>
                  <w:r>
                    <w:rPr>
                      <w:rFonts w:hint="eastAsia"/>
                      <w:color w:val="000000"/>
                      <w:szCs w:val="21"/>
                    </w:rPr>
                    <w:t>×100％</w:t>
                  </w:r>
                </w:p>
              </w:tc>
              <w:tc>
                <w:tcPr>
                  <w:tcW w:w="1350" w:type="dxa"/>
                  <w:shd w:val="clear" w:color="auto" w:fill="auto"/>
                  <w:vAlign w:val="center"/>
                </w:tcPr>
                <w:p>
                  <w:pPr>
                    <w:shd w:val="clear" w:color="auto" w:fill="C7DAF1" w:themeFill="text2" w:themeFillTint="32"/>
                    <w:rPr>
                      <w:rFonts w:hint="default" w:ascii="宋体" w:hAnsi="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color w:val="auto"/>
                      <w:lang w:val="en-US" w:eastAsia="zh-CN"/>
                    </w:rPr>
                  </w:pPr>
                  <w:r>
                    <w:rPr>
                      <w:rFonts w:hint="eastAsia" w:ascii="宋体" w:hAnsi="宋体"/>
                      <w:color w:val="auto"/>
                      <w:lang w:val="en-US" w:eastAsia="zh-CN"/>
                    </w:rPr>
                    <w:t>100%</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2"/>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val="en-US" w:eastAsia="zh-CN"/>
              </w:rPr>
              <w:t xml:space="preserve">   </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restart"/>
            <w:shd w:val="clear" w:color="auto" w:fill="C7DAF1" w:themeFill="text2" w:themeFillTint="32"/>
          </w:tcPr>
          <w:p>
            <w:pPr>
              <w:shd w:val="clear" w:color="auto" w:fill="C7DAF1" w:themeFill="text2" w:themeFillTint="32"/>
            </w:pPr>
            <w:r>
              <w:rPr>
                <w:rFonts w:hint="eastAsia"/>
              </w:rPr>
              <w:t>支持</w:t>
            </w:r>
          </w:p>
        </w:tc>
        <w:tc>
          <w:tcPr>
            <w:tcW w:w="9015"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6"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w:t>
            </w:r>
            <w:r>
              <w:rPr>
                <w:rFonts w:hint="eastAsia"/>
                <w:color w:val="auto"/>
              </w:rPr>
              <w:t>织应确定、</w:t>
            </w:r>
            <w:r>
              <w:rPr>
                <w:rFonts w:hint="eastAsia"/>
              </w:rPr>
              <w:t>提供并维护所需的基础设施情况：</w:t>
            </w:r>
          </w:p>
          <w:p>
            <w:pPr>
              <w:shd w:val="clear" w:color="auto" w:fill="C7DAF1" w:themeFill="text2" w:themeFillTint="32"/>
              <w:rPr>
                <w:rFonts w:hint="default" w:eastAsia="宋体"/>
                <w:color w:val="auto"/>
                <w:lang w:val="en-US" w:eastAsia="zh-CN"/>
              </w:rPr>
            </w:pPr>
            <w:r>
              <w:rPr>
                <w:rFonts w:hint="eastAsia"/>
                <w:color w:val="auto"/>
              </w:rPr>
              <w:t>建筑面积</w:t>
            </w:r>
            <w:r>
              <w:rPr>
                <w:rFonts w:hint="eastAsia"/>
                <w:color w:val="auto"/>
                <w:u w:val="single"/>
              </w:rPr>
              <w:t xml:space="preserve"> </w:t>
            </w:r>
            <w:r>
              <w:rPr>
                <w:rFonts w:hint="eastAsia"/>
                <w:color w:val="auto"/>
                <w:u w:val="single"/>
                <w:lang w:val="en-US" w:eastAsia="zh-CN"/>
              </w:rPr>
              <w:t>5800</w:t>
            </w:r>
            <w:r>
              <w:rPr>
                <w:rFonts w:hint="eastAsia"/>
                <w:color w:val="auto"/>
                <w:u w:val="single"/>
              </w:rPr>
              <w:t xml:space="preserve">  </w:t>
            </w:r>
            <w:r>
              <w:rPr>
                <w:rFonts w:hint="eastAsia"/>
                <w:color w:val="auto"/>
              </w:rPr>
              <w:t>平方米；生产车间</w:t>
            </w:r>
            <w:r>
              <w:rPr>
                <w:rFonts w:hint="eastAsia"/>
                <w:color w:val="auto"/>
                <w:u w:val="single"/>
              </w:rPr>
              <w:t xml:space="preserve"> </w:t>
            </w:r>
            <w:r>
              <w:rPr>
                <w:rFonts w:hint="eastAsia"/>
                <w:color w:val="auto"/>
                <w:u w:val="single"/>
                <w:lang w:val="en-US" w:eastAsia="zh-CN"/>
              </w:rPr>
              <w:t>2</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个；实验</w:t>
            </w:r>
            <w:r>
              <w:rPr>
                <w:rFonts w:hint="eastAsia"/>
                <w:color w:val="auto"/>
                <w:lang w:val="en-US" w:eastAsia="zh-CN"/>
              </w:rPr>
              <w:t>区</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w:t>
            </w:r>
            <w:r>
              <w:rPr>
                <w:rFonts w:hint="eastAsia"/>
                <w:color w:val="auto"/>
                <w:lang w:val="en-US" w:eastAsia="zh-CN"/>
              </w:rPr>
              <w:t>办公楼</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lang w:val="en-US" w:eastAsia="zh-CN"/>
              </w:rPr>
              <w:t>个</w:t>
            </w:r>
          </w:p>
          <w:p>
            <w:pPr>
              <w:shd w:val="clear" w:color="auto" w:fill="C7DAF1" w:themeFill="text2" w:themeFillTint="32"/>
              <w:rPr>
                <w:color w:val="0000FF"/>
                <w:u w:val="single"/>
              </w:rPr>
            </w:pPr>
            <w:r>
              <w:rPr>
                <w:rFonts w:hint="eastAsia"/>
                <w:color w:val="auto"/>
              </w:rPr>
              <w:t>主要生产设备有：</w:t>
            </w:r>
            <w:r>
              <w:rPr>
                <w:rFonts w:hint="eastAsia"/>
                <w:color w:val="0000FF"/>
                <w:u w:val="single"/>
                <w:lang w:val="en-US" w:eastAsia="zh-CN"/>
              </w:rPr>
              <w:t xml:space="preserve"> </w:t>
            </w:r>
            <w:r>
              <w:rPr>
                <w:rFonts w:hint="eastAsia"/>
                <w:sz w:val="21"/>
                <w:szCs w:val="21"/>
                <w:u w:val="single"/>
                <w:lang w:val="en-US" w:eastAsia="zh-CN"/>
              </w:rPr>
              <w:t>编织机、包装机、压扣机、切割机等</w:t>
            </w:r>
            <w:r>
              <w:rPr>
                <w:rFonts w:hint="eastAsia"/>
                <w:szCs w:val="22"/>
                <w:u w:val="single"/>
              </w:rPr>
              <w:t>设备，办公室能满足要求。</w:t>
            </w:r>
            <w:r>
              <w:rPr>
                <w:rFonts w:hint="eastAsia"/>
                <w:color w:val="0000FF"/>
                <w:u w:val="single"/>
                <w:lang w:val="en-US" w:eastAsia="zh-CN"/>
              </w:rPr>
              <w:t xml:space="preserve"> </w:t>
            </w:r>
          </w:p>
          <w:p>
            <w:pPr>
              <w:shd w:val="clear" w:color="auto" w:fill="C7DAF1" w:themeFill="text2" w:themeFillTint="32"/>
            </w:pPr>
            <w:r>
              <w:rPr>
                <w:rFonts w:hint="eastAsia"/>
              </w:rPr>
              <w:t>特种设备：■叉车</w:t>
            </w:r>
            <w:r>
              <w:rPr>
                <w:rFonts w:hint="eastAsia"/>
                <w:lang w:eastAsia="zh-CN"/>
              </w:rPr>
              <w:t>（</w:t>
            </w:r>
            <w:r>
              <w:rPr>
                <w:rFonts w:hint="eastAsia"/>
                <w:lang w:val="en-US" w:eastAsia="zh-CN"/>
              </w:rPr>
              <w:t>租赁</w:t>
            </w:r>
            <w:r>
              <w:rPr>
                <w:rFonts w:hint="eastAsia"/>
                <w:lang w:eastAsia="zh-CN"/>
              </w:rPr>
              <w:t>）</w:t>
            </w:r>
            <w:r>
              <w:rPr>
                <w:rFonts w:hint="eastAsia"/>
              </w:rPr>
              <w:t xml:space="preserve">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 xml:space="preserve">特种设备管理： ■进行了定期检验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rPr>
                <w:rFonts w:hint="eastAsia"/>
                <w:u w:val="single"/>
                <w:lang w:val="en-US" w:eastAsia="zh-CN"/>
              </w:rPr>
            </w:pPr>
            <w:r>
              <w:rPr>
                <w:rFonts w:hint="eastAsia"/>
              </w:rPr>
              <w:t>国家强检的计量器具有：</w:t>
            </w:r>
            <w:r>
              <w:rPr>
                <w:rFonts w:hint="eastAsia"/>
                <w:u w:val="single"/>
              </w:rPr>
              <w:t xml:space="preserve"> 游标卡尺</w:t>
            </w:r>
            <w:r>
              <w:rPr>
                <w:rFonts w:hint="eastAsia"/>
                <w:u w:val="single"/>
                <w:lang w:eastAsia="zh-CN"/>
              </w:rPr>
              <w:t>、</w:t>
            </w:r>
            <w:r>
              <w:rPr>
                <w:rFonts w:hint="eastAsia"/>
                <w:szCs w:val="22"/>
                <w:u w:val="single"/>
              </w:rPr>
              <w:t>万用表、钢卷尺，提供了校准</w:t>
            </w:r>
            <w:r>
              <w:rPr>
                <w:rFonts w:hint="eastAsia"/>
                <w:szCs w:val="22"/>
                <w:u w:val="single"/>
                <w:lang w:val="en-US" w:eastAsia="zh-CN"/>
              </w:rPr>
              <w:t>合格</w:t>
            </w:r>
            <w:r>
              <w:rPr>
                <w:rFonts w:hint="eastAsia"/>
                <w:szCs w:val="22"/>
                <w:u w:val="single"/>
              </w:rPr>
              <w:t>证书，校准日期202</w:t>
            </w:r>
            <w:r>
              <w:rPr>
                <w:rFonts w:hint="eastAsia"/>
                <w:szCs w:val="22"/>
                <w:u w:val="single"/>
                <w:lang w:val="en-US" w:eastAsia="zh-CN"/>
              </w:rPr>
              <w:t>2</w:t>
            </w:r>
            <w:r>
              <w:rPr>
                <w:rFonts w:hint="eastAsia"/>
                <w:szCs w:val="22"/>
                <w:u w:val="single"/>
              </w:rPr>
              <w:t>.</w:t>
            </w:r>
            <w:r>
              <w:rPr>
                <w:rFonts w:hint="eastAsia"/>
                <w:szCs w:val="22"/>
                <w:u w:val="single"/>
                <w:lang w:val="en-US" w:eastAsia="zh-CN"/>
              </w:rPr>
              <w:t>4</w:t>
            </w:r>
            <w:r>
              <w:rPr>
                <w:rFonts w:hint="eastAsia"/>
                <w:szCs w:val="22"/>
                <w:u w:val="single"/>
              </w:rPr>
              <w:t>.</w:t>
            </w:r>
            <w:r>
              <w:rPr>
                <w:rFonts w:hint="eastAsia"/>
                <w:szCs w:val="22"/>
                <w:u w:val="single"/>
                <w:lang w:val="en-US" w:eastAsia="zh-CN"/>
              </w:rPr>
              <w:t>8</w:t>
            </w:r>
            <w:r>
              <w:rPr>
                <w:rFonts w:hint="eastAsia"/>
                <w:szCs w:val="22"/>
                <w:u w:val="single"/>
              </w:rPr>
              <w:t>日，</w:t>
            </w:r>
            <w:r>
              <w:rPr>
                <w:rFonts w:hint="eastAsia"/>
                <w:szCs w:val="22"/>
                <w:u w:val="single"/>
                <w:lang w:val="en-US" w:eastAsia="zh-CN"/>
              </w:rPr>
              <w:t>卷尺、接地电阻测试仪，提供校准合格证书，</w:t>
            </w:r>
            <w:r>
              <w:rPr>
                <w:rFonts w:hint="eastAsia"/>
                <w:szCs w:val="22"/>
                <w:u w:val="single"/>
              </w:rPr>
              <w:t>校准日期202</w:t>
            </w:r>
            <w:r>
              <w:rPr>
                <w:rFonts w:hint="eastAsia"/>
                <w:szCs w:val="22"/>
                <w:u w:val="single"/>
                <w:lang w:val="en-US" w:eastAsia="zh-CN"/>
              </w:rPr>
              <w:t>2</w:t>
            </w:r>
            <w:r>
              <w:rPr>
                <w:rFonts w:hint="eastAsia"/>
                <w:szCs w:val="22"/>
                <w:u w:val="single"/>
              </w:rPr>
              <w:t>.</w:t>
            </w:r>
            <w:r>
              <w:rPr>
                <w:rFonts w:hint="eastAsia"/>
                <w:szCs w:val="22"/>
                <w:u w:val="single"/>
                <w:lang w:val="en-US" w:eastAsia="zh-CN"/>
              </w:rPr>
              <w:t>7</w:t>
            </w:r>
            <w:r>
              <w:rPr>
                <w:rFonts w:hint="eastAsia"/>
                <w:szCs w:val="22"/>
                <w:u w:val="single"/>
              </w:rPr>
              <w:t>.</w:t>
            </w:r>
            <w:r>
              <w:rPr>
                <w:rFonts w:hint="eastAsia"/>
                <w:szCs w:val="22"/>
                <w:u w:val="single"/>
                <w:lang w:val="en-US" w:eastAsia="zh-CN"/>
              </w:rPr>
              <w:t>12</w:t>
            </w:r>
            <w:r>
              <w:rPr>
                <w:rFonts w:hint="eastAsia"/>
                <w:szCs w:val="22"/>
                <w:u w:val="single"/>
              </w:rPr>
              <w:t>日</w:t>
            </w:r>
            <w:r>
              <w:rPr>
                <w:rFonts w:hint="eastAsia"/>
                <w:szCs w:val="22"/>
                <w:u w:val="single"/>
                <w:lang w:eastAsia="zh-CN"/>
              </w:rPr>
              <w:t>，</w:t>
            </w:r>
            <w:r>
              <w:rPr>
                <w:rFonts w:hint="eastAsia"/>
                <w:szCs w:val="22"/>
                <w:u w:val="single"/>
              </w:rPr>
              <w:t>校准机构深圳中电计量测试技术有限公司。</w:t>
            </w:r>
            <w:r>
              <w:rPr>
                <w:rFonts w:hint="eastAsia"/>
                <w:u w:val="single"/>
                <w:lang w:val="en-US" w:eastAsia="zh-CN"/>
              </w:rPr>
              <w:t>（列举1~4种）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w:t>
            </w:r>
            <w:r>
              <w:rPr>
                <w:rFonts w:hint="eastAsia"/>
                <w:lang w:val="en-US" w:eastAsia="zh-CN"/>
              </w:rPr>
              <w:t xml:space="preserve"> </w:t>
            </w:r>
            <w:r>
              <w:rPr>
                <w:rFonts w:hint="eastAsia"/>
              </w:rPr>
              <w:t xml:space="preserve">■生产经验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 xml:space="preserve">特种作业人员：■电工 ¨焊工  ¨危化品作业  ¨制冷工   ¨其他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A3"/>
            </w:r>
            <w:r>
              <w:rPr>
                <w:rFonts w:hint="eastAsia"/>
              </w:rPr>
              <w:t>法律法规获取充分，■法律法规获</w:t>
            </w:r>
            <w:r>
              <w:rPr>
                <w:rFonts w:hint="eastAsia" w:ascii="Times New Roman" w:hAnsi="Times New Roman" w:eastAsia="宋体" w:cs="Times New Roman"/>
              </w:rPr>
              <w:t xml:space="preserve">取有遗漏，缺少：  </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restart"/>
            <w:shd w:val="clear" w:color="auto" w:fill="C7DAF1" w:themeFill="text2" w:themeFillTint="32"/>
          </w:tcPr>
          <w:p>
            <w:pPr>
              <w:shd w:val="clear" w:color="auto" w:fill="C7DAF1" w:themeFill="text2" w:themeFillTint="32"/>
            </w:pPr>
            <w:r>
              <w:rPr>
                <w:rFonts w:hint="eastAsia"/>
              </w:rPr>
              <w:t>运行</w:t>
            </w:r>
          </w:p>
        </w:tc>
        <w:tc>
          <w:tcPr>
            <w:tcW w:w="9015"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val="en-US" w:eastAsia="zh-CN"/>
              </w:rPr>
              <w:t>不</w:t>
            </w:r>
            <w:r>
              <w:rPr>
                <w:rFonts w:hint="eastAsia"/>
              </w:rPr>
              <w:t>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 xml:space="preserve">    不适用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rPr>
                <w:rFonts w:hint="eastAsia"/>
              </w:rPr>
            </w:pPr>
            <w:r>
              <w:rPr>
                <w:rFonts w:hint="eastAsia"/>
              </w:rPr>
              <w:t>组织的生产和服务提供流程图（见</w:t>
            </w:r>
            <w:r>
              <w:rPr>
                <w:rFonts w:hint="eastAsia"/>
                <w:lang w:val="en-US" w:eastAsia="zh-CN"/>
              </w:rPr>
              <w:t>附件</w:t>
            </w:r>
            <w:r>
              <w:rPr>
                <w:rFonts w:hint="eastAsia"/>
              </w:rPr>
              <w:t>），</w:t>
            </w:r>
          </w:p>
          <w:p>
            <w:pPr>
              <w:shd w:val="clear" w:color="auto" w:fill="C7DAF1" w:themeFill="text2" w:themeFillTint="32"/>
              <w:jc w:val="left"/>
            </w:pPr>
            <w:r>
              <w:rPr>
                <w:rFonts w:hint="eastAsia"/>
              </w:rPr>
              <w:t>认证范围内每种产品/服务流程的关</w:t>
            </w:r>
            <w:r>
              <w:rPr>
                <w:rFonts w:hint="eastAsia" w:ascii="Times New Roman" w:hAnsi="Times New Roman" w:eastAsia="宋体" w:cs="Times New Roman"/>
              </w:rPr>
              <w:t>键过程及控制参数：</w:t>
            </w:r>
          </w:p>
          <w:tbl>
            <w:tblPr>
              <w:tblStyle w:val="8"/>
              <w:tblpPr w:leftFromText="180" w:rightFromText="180" w:vertAnchor="text" w:horzAnchor="page" w:tblpX="-1336" w:tblpY="155"/>
              <w:tblOverlap w:val="never"/>
              <w:tblW w:w="8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1767"/>
              <w:gridCol w:w="6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0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4"/>
                      <w:highlight w:val="none"/>
                      <w:lang w:val="en-US" w:eastAsia="zh-CN" w:bidi="ar"/>
                    </w:rPr>
                    <w:t>产品</w:t>
                  </w:r>
                  <w:r>
                    <w:rPr>
                      <w:rStyle w:val="25"/>
                      <w:rFonts w:eastAsia="宋体"/>
                      <w:highlight w:val="none"/>
                      <w:lang w:val="en-US" w:eastAsia="zh-CN" w:bidi="ar"/>
                    </w:rPr>
                    <w:t>/</w:t>
                  </w:r>
                  <w:r>
                    <w:rPr>
                      <w:rStyle w:val="24"/>
                      <w:highlight w:val="none"/>
                      <w:lang w:val="en-US" w:eastAsia="zh-CN" w:bidi="ar"/>
                    </w:rPr>
                    <w:t>服务名称</w:t>
                  </w:r>
                </w:p>
              </w:tc>
              <w:tc>
                <w:tcPr>
                  <w:tcW w:w="1767"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关键过程</w:t>
                  </w:r>
                </w:p>
              </w:tc>
              <w:tc>
                <w:tcPr>
                  <w:tcW w:w="602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控制内容（如尺寸、压力等）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70C0"/>
                      <w:sz w:val="21"/>
                      <w:szCs w:val="21"/>
                      <w:u w:val="none"/>
                    </w:rPr>
                  </w:pPr>
                  <w:r>
                    <w:t>石墨复合接地体</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原料验收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材质、规</w:t>
                  </w:r>
                  <w:r>
                    <w:rPr>
                      <w:rFonts w:hint="eastAsia" w:ascii="宋体" w:hAnsi="宋体" w:cs="宋体"/>
                      <w:i w:val="0"/>
                      <w:iCs w:val="0"/>
                      <w:color w:val="000000"/>
                      <w:kern w:val="0"/>
                      <w:sz w:val="20"/>
                      <w:szCs w:val="20"/>
                      <w:u w:val="none"/>
                      <w:lang w:val="en-US" w:eastAsia="zh-CN" w:bidi="ar"/>
                    </w:rPr>
                    <w:t>格</w:t>
                  </w:r>
                  <w:r>
                    <w:rPr>
                      <w:rFonts w:hint="eastAsia" w:ascii="宋体" w:hAnsi="宋体" w:eastAsia="宋体" w:cs="宋体"/>
                      <w:i w:val="0"/>
                      <w:iCs w:val="0"/>
                      <w:color w:val="000000"/>
                      <w:kern w:val="0"/>
                      <w:sz w:val="20"/>
                      <w:szCs w:val="20"/>
                      <w:u w:val="none"/>
                      <w:lang w:val="en-US" w:eastAsia="zh-CN" w:bidi="ar"/>
                    </w:rPr>
                    <w:t>、性能达标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编织</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按成型标准或顾客要求成型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成品检验</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70C0"/>
                      <w:sz w:val="21"/>
                      <w:szCs w:val="21"/>
                      <w:u w:val="none"/>
                      <w:lang w:val="en-US"/>
                    </w:rPr>
                  </w:pPr>
                  <w:r>
                    <w:rPr>
                      <w:rFonts w:hint="eastAsia" w:ascii="宋体" w:hAnsi="宋体" w:eastAsia="宋体" w:cs="宋体"/>
                      <w:i w:val="0"/>
                      <w:iCs w:val="0"/>
                      <w:color w:val="000000"/>
                      <w:kern w:val="0"/>
                      <w:sz w:val="20"/>
                      <w:szCs w:val="20"/>
                      <w:u w:val="none"/>
                      <w:lang w:val="en-US" w:eastAsia="zh-CN" w:bidi="ar"/>
                    </w:rPr>
                    <w:t>外观要求：接地石墨线捻拧体均匀，表面光滑，表面防护网无破损。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70C0"/>
                      <w:sz w:val="21"/>
                      <w:szCs w:val="21"/>
                      <w:u w:val="none"/>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70C0"/>
                      <w:sz w:val="21"/>
                      <w:szCs w:val="21"/>
                      <w:u w:val="none"/>
                    </w:rPr>
                  </w:pPr>
                  <w:r>
                    <w:rPr>
                      <w:rFonts w:hint="eastAsia" w:ascii="宋体" w:hAnsi="宋体" w:eastAsia="宋体" w:cs="宋体"/>
                      <w:i w:val="0"/>
                      <w:iCs w:val="0"/>
                      <w:color w:val="000000"/>
                      <w:kern w:val="0"/>
                      <w:sz w:val="20"/>
                      <w:szCs w:val="20"/>
                      <w:u w:val="none"/>
                      <w:lang w:val="en-US" w:eastAsia="zh-CN" w:bidi="ar"/>
                    </w:rPr>
                    <w:t>电解质材料电阻率：不大于3</w:t>
                  </w:r>
                  <w:r>
                    <w:rPr>
                      <w:rStyle w:val="27"/>
                      <w:rFonts w:eastAsia="宋体"/>
                      <w:lang w:val="en-US" w:eastAsia="zh-CN" w:bidi="ar"/>
                    </w:rPr>
                    <w:t>Ώ</w:t>
                  </w:r>
                  <w:r>
                    <w:rPr>
                      <w:rFonts w:hint="eastAsia" w:ascii="宋体" w:hAnsi="宋体" w:eastAsia="宋体" w:cs="宋体"/>
                      <w:i w:val="0"/>
                      <w:iCs w:val="0"/>
                      <w:color w:val="000000"/>
                      <w:kern w:val="0"/>
                      <w:sz w:val="20"/>
                      <w:szCs w:val="20"/>
                      <w:u w:val="none"/>
                      <w:lang w:val="en-US" w:eastAsia="zh-CN" w:bidi="ar"/>
                    </w:rPr>
                    <w:t>.m（室温25度）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70C0"/>
                      <w:sz w:val="21"/>
                      <w:szCs w:val="21"/>
                      <w:u w:val="none"/>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70C0"/>
                      <w:sz w:val="21"/>
                      <w:szCs w:val="21"/>
                      <w:u w:val="none"/>
                      <w:lang w:val="en-US"/>
                    </w:rPr>
                  </w:pPr>
                  <w:r>
                    <w:rPr>
                      <w:rFonts w:hint="eastAsia" w:ascii="宋体" w:hAnsi="宋体" w:eastAsia="宋体" w:cs="宋体"/>
                      <w:i w:val="0"/>
                      <w:iCs w:val="0"/>
                      <w:color w:val="000000"/>
                      <w:kern w:val="0"/>
                      <w:sz w:val="20"/>
                      <w:szCs w:val="20"/>
                      <w:u w:val="none"/>
                      <w:lang w:val="en-US" w:eastAsia="zh-CN" w:bidi="ar"/>
                    </w:rPr>
                    <w:t>尺寸要求：直径20或符合顾客要求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70C0"/>
                      <w:sz w:val="21"/>
                      <w:szCs w:val="21"/>
                      <w:u w:val="none"/>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70C0"/>
                      <w:sz w:val="21"/>
                      <w:szCs w:val="21"/>
                      <w:u w:val="none"/>
                    </w:rPr>
                  </w:pPr>
                  <w:r>
                    <w:rPr>
                      <w:rFonts w:hint="eastAsia" w:ascii="宋体" w:hAnsi="宋体" w:eastAsia="宋体" w:cs="宋体"/>
                      <w:i w:val="0"/>
                      <w:iCs w:val="0"/>
                      <w:color w:val="000000"/>
                      <w:kern w:val="0"/>
                      <w:sz w:val="20"/>
                      <w:szCs w:val="20"/>
                      <w:u w:val="none"/>
                      <w:lang w:val="en-US" w:eastAsia="zh-CN" w:bidi="ar"/>
                    </w:rPr>
                    <w:t>接触电阻测量：对于外表面附有铜、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镍等合金的接地体，或金属管外附导材料的接地体，棒体与外表层间的电阻应不大于10M</w:t>
                  </w:r>
                  <w:r>
                    <w:rPr>
                      <w:rStyle w:val="27"/>
                      <w:rFonts w:eastAsia="宋体"/>
                      <w:lang w:val="en-US" w:eastAsia="zh-CN" w:bidi="ar"/>
                    </w:rPr>
                    <w:t>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70C0"/>
                      <w:sz w:val="21"/>
                      <w:szCs w:val="21"/>
                      <w:u w:val="none"/>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70C0"/>
                      <w:sz w:val="21"/>
                      <w:szCs w:val="21"/>
                      <w:u w:val="none"/>
                    </w:rPr>
                  </w:pPr>
                  <w:r>
                    <w:rPr>
                      <w:rFonts w:hint="eastAsia" w:ascii="宋体" w:hAnsi="宋体" w:eastAsia="宋体" w:cs="宋体"/>
                      <w:i w:val="0"/>
                      <w:iCs w:val="0"/>
                      <w:color w:val="000000"/>
                      <w:kern w:val="0"/>
                      <w:sz w:val="20"/>
                      <w:szCs w:val="20"/>
                      <w:u w:val="none"/>
                      <w:lang w:val="en-US" w:eastAsia="zh-CN" w:bidi="ar"/>
                    </w:rPr>
                    <w:t>机械强度试验：接地体应满足跌落试验的要求，跌落试验后接地体不应发生断裂破损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restart"/>
                  <w:tcBorders>
                    <w:top w:val="single" w:color="auto" w:sz="4" w:space="0"/>
                    <w:left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r>
                    <w:rPr>
                      <w:sz w:val="20"/>
                    </w:rPr>
                    <w:t>铜覆钢接地极</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原料验收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材料、规格型号、铜层表面光滑平整、具有均匀的金属光泽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left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组装</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按图纸、合同要求规范组装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left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vMerge w:val="restart"/>
                  <w:tcBorders>
                    <w:top w:val="single" w:color="auto" w:sz="4" w:space="0"/>
                    <w:left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成品检验</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外观要求：尺寸满足图纸和客户要求，铜连续牢固的包覆在钢芯中，表面应吸附均匀、紧密、外观光滑无破损。铜层厚度符合要求。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tcBorders>
                    <w:left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vMerge w:val="continue"/>
                  <w:tcBorders>
                    <w:left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电气性能指标电阻率、接续电阻、降阻效果系数达标；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006" w:type="dxa"/>
                  <w:tcBorders>
                    <w:left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70C0"/>
                      <w:sz w:val="21"/>
                      <w:szCs w:val="21"/>
                      <w:u w:val="none"/>
                    </w:rPr>
                  </w:pPr>
                </w:p>
              </w:tc>
              <w:tc>
                <w:tcPr>
                  <w:tcW w:w="1767"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成品拉伸其他性能指标合格</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u w:val="single"/>
              </w:rPr>
              <w:t xml:space="preserve"> </w:t>
            </w:r>
            <w:r>
              <w:rPr>
                <w:sz w:val="20"/>
                <w:u w:val="single"/>
              </w:rPr>
              <w:t>石墨复合接地体和铜覆钢接地极</w:t>
            </w:r>
            <w:r>
              <w:rPr>
                <w:rFonts w:hint="eastAsia"/>
                <w:sz w:val="20"/>
                <w:u w:val="single"/>
                <w:lang w:val="en-US" w:eastAsia="zh-CN"/>
              </w:rPr>
              <w:t>外检报告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绩效评价</w:t>
            </w:r>
          </w:p>
        </w:tc>
        <w:tc>
          <w:tcPr>
            <w:tcW w:w="9015"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color w:val="auto"/>
              </w:rPr>
              <w:t>于</w:t>
            </w:r>
            <w:r>
              <w:rPr>
                <w:rFonts w:hint="eastAsia"/>
                <w:color w:val="auto"/>
                <w:u w:val="single"/>
              </w:rPr>
              <w:t xml:space="preserve"> </w:t>
            </w:r>
            <w:r>
              <w:rPr>
                <w:rFonts w:hint="eastAsia"/>
                <w:color w:val="auto"/>
                <w:u w:val="single"/>
                <w:lang w:val="en-US" w:eastAsia="zh-CN"/>
              </w:rPr>
              <w:t>2022</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6</w:t>
            </w:r>
            <w:r>
              <w:rPr>
                <w:rFonts w:hint="eastAsia"/>
                <w:color w:val="auto"/>
                <w:u w:val="single"/>
              </w:rPr>
              <w:t xml:space="preserve"> </w:t>
            </w:r>
            <w:r>
              <w:rPr>
                <w:rFonts w:hint="eastAsia"/>
                <w:color w:val="auto"/>
              </w:rPr>
              <w:t>月</w:t>
            </w:r>
            <w:r>
              <w:rPr>
                <w:rFonts w:hint="eastAsia"/>
                <w:color w:val="auto"/>
                <w:u w:val="single"/>
                <w:lang w:val="en-US" w:eastAsia="zh-CN"/>
              </w:rPr>
              <w:t>10</w:t>
            </w:r>
            <w:r>
              <w:rPr>
                <w:rFonts w:hint="eastAsia"/>
                <w:color w:val="auto"/>
                <w:u w:val="single"/>
              </w:rPr>
              <w:t xml:space="preserve"> 日</w:t>
            </w:r>
            <w:r>
              <w:rPr>
                <w:rFonts w:hint="eastAsia"/>
                <w:color w:val="auto"/>
              </w:rPr>
              <w:t>实</w:t>
            </w:r>
            <w:r>
              <w:rPr>
                <w:rFonts w:hint="eastAsia"/>
              </w:rPr>
              <w:t>施了质量管理</w:t>
            </w:r>
            <w:r>
              <w:rPr>
                <w:rFonts w:hint="eastAsia"/>
                <w:highlight w:val="none"/>
              </w:rPr>
              <w:t>体系内部审核，</w:t>
            </w:r>
            <w:r>
              <w:rPr>
                <w:rFonts w:hint="eastAsia"/>
              </w:rPr>
              <w:t>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日对组织的质</w:t>
            </w:r>
            <w:r>
              <w:rPr>
                <w:rFonts w:hint="eastAsia"/>
                <w:highlight w:val="none"/>
              </w:rPr>
              <w:t>量管理体系进行了评审</w:t>
            </w:r>
            <w:r>
              <w:rPr>
                <w:rFonts w:hint="eastAsia"/>
              </w:rPr>
              <w:t>，以确保其持续的适宜性、充分性和有效性；管理评审输入、输出均按要求提供。并对提出的改进措施进行了落实。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改进</w:t>
            </w:r>
          </w:p>
        </w:tc>
        <w:tc>
          <w:tcPr>
            <w:tcW w:w="9015"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pPr>
              <w:rPr>
                <w:rFonts w:hint="default" w:eastAsia="宋体"/>
                <w:lang w:val="en-US" w:eastAsia="zh-CN"/>
              </w:rPr>
            </w:pPr>
            <w:r>
              <w:rPr>
                <w:rFonts w:hint="eastAsia"/>
              </w:rPr>
              <w:t>□EMS体系建立以来□定期（近一年）■其他</w:t>
            </w:r>
            <w:r>
              <w:rPr>
                <w:rFonts w:hint="eastAsia"/>
                <w:lang w:val="en-US" w:eastAsia="zh-CN"/>
              </w:rPr>
              <w:t xml:space="preserve"> 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■价值观  □文化  ■知识 ■绩效■工艺■设备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■主管部门</w:t>
                  </w:r>
                </w:p>
              </w:tc>
              <w:tc>
                <w:tcPr>
                  <w:tcW w:w="6912" w:type="dxa"/>
                  <w:vAlign w:val="top"/>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■供方/承包方</w:t>
                  </w:r>
                </w:p>
              </w:tc>
              <w:tc>
                <w:tcPr>
                  <w:tcW w:w="6912" w:type="dxa"/>
                  <w:vAlign w:val="top"/>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■顾客</w:t>
                  </w:r>
                </w:p>
              </w:tc>
              <w:tc>
                <w:tcPr>
                  <w:tcW w:w="6912" w:type="dxa"/>
                  <w:vAlign w:val="top"/>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□非政府部门</w:t>
                  </w:r>
                </w:p>
              </w:tc>
              <w:tc>
                <w:tcPr>
                  <w:tcW w:w="6912" w:type="dxa"/>
                  <w:vAlign w:val="top"/>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■员工</w:t>
                  </w:r>
                </w:p>
              </w:tc>
              <w:tc>
                <w:tcPr>
                  <w:tcW w:w="6912" w:type="dxa"/>
                  <w:vAlign w:val="top"/>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□投资方</w:t>
                  </w:r>
                </w:p>
              </w:tc>
              <w:tc>
                <w:tcPr>
                  <w:tcW w:w="6912" w:type="dxa"/>
                  <w:vAlign w:val="top"/>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w:t>
            </w:r>
            <w:r>
              <w:rPr>
                <w:rFonts w:hint="eastAsia"/>
              </w:rPr>
              <w:sym w:font="Wingdings 2" w:char="00A3"/>
            </w:r>
            <w:r>
              <w:rPr>
                <w:rFonts w:hint="eastAsia"/>
              </w:rPr>
              <w:t>危化品管理</w:t>
            </w:r>
            <w:r>
              <w:rPr>
                <w:rFonts w:hint="eastAsia"/>
              </w:rPr>
              <w:sym w:font="Wingdings 2" w:char="00A3"/>
            </w:r>
            <w:r>
              <w:rPr>
                <w:rFonts w:hint="eastAsia"/>
              </w:rPr>
              <w:t xml:space="preserve">特种设备管理 </w:t>
            </w:r>
          </w:p>
          <w:p>
            <w:pPr>
              <w:spacing w:before="40" w:after="40"/>
            </w:pPr>
            <w:r>
              <w:rPr>
                <w:rFonts w:hint="eastAsia"/>
              </w:rPr>
              <w:t>□安评三同时□职评三同时□其他</w:t>
            </w:r>
          </w:p>
          <w:p>
            <w:pPr>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eastAsia="宋体" w:cs="Times New Roman"/>
                <w:u w:val="single"/>
                <w:lang w:val="en-GB"/>
              </w:rPr>
            </w:pPr>
            <w:r>
              <w:rPr>
                <w:rFonts w:hint="eastAsia" w:ascii="Times New Roman" w:hAnsi="Times New Roman" w:eastAsia="宋体" w:cs="Times New Roman"/>
                <w:u w:val="single"/>
                <w:lang w:val="en-GB"/>
              </w:rPr>
              <w:t>关爱员工，以人为本，安全第一，遵守法律法规。</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w:t>
            </w:r>
          </w:p>
          <w:p>
            <w:pPr>
              <w:rPr>
                <w:rFonts w:hint="default" w:eastAsia="宋体"/>
                <w:lang w:val="en-US" w:eastAsia="zh-CN"/>
              </w:rPr>
            </w:pPr>
            <w:r>
              <w:rPr>
                <w:rFonts w:hint="eastAsia"/>
              </w:rPr>
              <w:t>安全的主管部门是——</w:t>
            </w:r>
            <w:r>
              <w:rPr>
                <w:rFonts w:hint="eastAsia"/>
                <w:lang w:val="en-US" w:eastAsia="zh-CN"/>
              </w:rPr>
              <w:t>综合办</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丁辉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1.紧急状态事件未识别或识别不充分</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 xml:space="preserve">制定应急准备与响应管规定明确紧急事件的范围:火灾 </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2.针对紧急事件未制定应急计划或应急计划不合理</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制定应急计划/预案,并定期演习评价改进</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3.应急计划无法进行响应</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在可能发生紧急事件的场所揭示应急联络网,定期培训和演习评价</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■机械伤害■触电□化学伤害■噪声□粉尘□危险作业□高低温□危化品泄露□压力容器爆炸■火灾■其他</w:t>
            </w:r>
            <w:r>
              <w:rPr>
                <w:rFonts w:hint="eastAsia"/>
                <w:lang w:val="en-US" w:eastAsia="zh-CN"/>
              </w:rPr>
              <w:t xml:space="preserve"> </w:t>
            </w:r>
            <w:r>
              <w:rPr>
                <w:rFonts w:hint="eastAsia" w:ascii="Times New Roman" w:hAnsi="Times New Roman" w:eastAsia="宋体" w:cs="Times New Roman"/>
              </w:rPr>
              <w:t>新冠病毒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pPr>
              <w:rPr>
                <w:rFonts w:hint="default" w:eastAsia="宋体"/>
                <w:lang w:val="en-US" w:eastAsia="zh-CN"/>
              </w:rPr>
            </w:pPr>
            <w:r>
              <w:t>组织</w:t>
            </w:r>
            <w:r>
              <w:rPr>
                <w:rFonts w:hint="eastAsia"/>
              </w:rPr>
              <w:t>提供了</w:t>
            </w:r>
            <w:r>
              <w:t>下列许可和授权(必要时，按每个场所来描述):</w:t>
            </w:r>
            <w:r>
              <w:rPr>
                <w:rFonts w:hint="eastAsia"/>
                <w:lang w:val="en-US" w:eastAsia="zh-CN"/>
              </w:rPr>
              <w:t>不适用</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w:t>
            </w:r>
            <w:r>
              <w:rPr>
                <w:rFonts w:hint="eastAsia"/>
                <w:lang w:val="en-US" w:eastAsia="zh-CN"/>
              </w:rPr>
              <w:t xml:space="preserve"> </w:t>
            </w:r>
            <w:r>
              <w:rPr>
                <w:rFonts w:hint="eastAsia"/>
              </w:rPr>
              <w:t>■漏电保护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1、各类重大伤亡事故发生率为零</w:t>
                  </w:r>
                </w:p>
              </w:tc>
              <w:tc>
                <w:tcPr>
                  <w:tcW w:w="3136" w:type="dxa"/>
                  <w:shd w:val="clear" w:color="auto" w:fill="auto"/>
                  <w:vAlign w:val="center"/>
                </w:tcPr>
                <w:p>
                  <w:pPr>
                    <w:rPr>
                      <w:lang w:val="en-GB"/>
                    </w:rPr>
                  </w:pPr>
                  <w:r>
                    <w:rPr>
                      <w:rFonts w:hint="eastAsia" w:ascii="宋体" w:hAnsi="宋体"/>
                      <w:sz w:val="21"/>
                      <w:szCs w:val="21"/>
                      <w:lang w:val="en-US" w:eastAsia="zh-CN"/>
                    </w:rPr>
                    <w:t>日常运行控制、个体防护、应急准备和响应、目标指标和方案控制</w:t>
                  </w:r>
                </w:p>
              </w:tc>
              <w:tc>
                <w:tcPr>
                  <w:tcW w:w="1350" w:type="dxa"/>
                  <w:shd w:val="clear" w:color="auto" w:fill="auto"/>
                  <w:vAlign w:val="center"/>
                </w:tcPr>
                <w:p>
                  <w:pPr>
                    <w:rPr>
                      <w:rFonts w:hint="default" w:eastAsia="宋体"/>
                      <w:lang w:val="en-US" w:eastAsia="zh-CN"/>
                    </w:rPr>
                  </w:pPr>
                  <w:r>
                    <w:rPr>
                      <w:rFonts w:hint="eastAsia"/>
                      <w:lang w:val="en-US" w:eastAsia="zh-CN"/>
                    </w:rPr>
                    <w:t>综合办</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100%安全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2、轻伤事故全年不超过3次；</w:t>
                  </w:r>
                </w:p>
                <w:p>
                  <w:pPr>
                    <w:rPr>
                      <w:rFonts w:hint="eastAsia" w:ascii="宋体" w:hAnsi="宋体" w:eastAsia="宋体" w:cs="Times New Roman"/>
                      <w:kern w:val="2"/>
                      <w:sz w:val="21"/>
                      <w:szCs w:val="21"/>
                      <w:lang w:val="en-US" w:eastAsia="zh-CN" w:bidi="ar-SA"/>
                    </w:rPr>
                  </w:pP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宋体" w:hAnsi="宋体"/>
                      <w:sz w:val="21"/>
                      <w:szCs w:val="21"/>
                      <w:lang w:val="en-US" w:eastAsia="zh-CN"/>
                    </w:rPr>
                    <w:t>日常运行控制、个体防护、应急准备和响应、目标指标和方案控制</w:t>
                  </w:r>
                </w:p>
              </w:tc>
              <w:tc>
                <w:tcPr>
                  <w:tcW w:w="1350" w:type="dxa"/>
                  <w:shd w:val="clear" w:color="auto" w:fill="auto"/>
                  <w:vAlign w:val="center"/>
                </w:tcPr>
                <w:p>
                  <w:pPr>
                    <w:rPr>
                      <w:rFonts w:hint="eastAsia"/>
                      <w:lang w:val="en-US" w:eastAsia="zh-CN"/>
                    </w:rPr>
                  </w:pPr>
                  <w:r>
                    <w:rPr>
                      <w:rFonts w:hint="eastAsia"/>
                      <w:lang w:val="en-US" w:eastAsia="zh-CN"/>
                    </w:rPr>
                    <w:t>管理层</w:t>
                  </w:r>
                </w:p>
                <w:p>
                  <w:pPr>
                    <w:pStyle w:val="4"/>
                    <w:rPr>
                      <w:rFonts w:hint="default" w:ascii="Times New Roman" w:hAnsi="Times New Roman" w:eastAsia="宋体" w:cs="Times New Roman"/>
                      <w:kern w:val="2"/>
                      <w:sz w:val="18"/>
                      <w:szCs w:val="18"/>
                      <w:lang w:val="en-US" w:eastAsia="zh-CN" w:bidi="ar-SA"/>
                    </w:rPr>
                  </w:pPr>
                  <w:r>
                    <w:rPr>
                      <w:rFonts w:hint="eastAsia" w:ascii="宋体" w:hAnsi="宋体"/>
                      <w:lang w:val="en-US" w:eastAsia="zh-CN"/>
                    </w:rPr>
                    <w:t>各部门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3、全年职业病发生率为零</w:t>
                  </w:r>
                </w:p>
              </w:tc>
              <w:tc>
                <w:tcPr>
                  <w:tcW w:w="3136" w:type="dxa"/>
                  <w:shd w:val="clear" w:color="auto" w:fill="auto"/>
                  <w:vAlign w:val="center"/>
                </w:tcPr>
                <w:p>
                  <w:pPr>
                    <w:rPr>
                      <w:rFonts w:hint="default" w:eastAsia="宋体"/>
                      <w:lang w:val="en-US" w:eastAsia="zh-CN"/>
                    </w:rPr>
                  </w:pPr>
                  <w:r>
                    <w:rPr>
                      <w:rFonts w:hint="eastAsia"/>
                    </w:rPr>
                    <w:t>1.配</w:t>
                  </w:r>
                  <w:r>
                    <w:rPr>
                      <w:rFonts w:hint="eastAsia"/>
                      <w:lang w:val="en-US" w:eastAsia="zh-CN"/>
                    </w:rPr>
                    <w:t>备</w:t>
                  </w:r>
                  <w:r>
                    <w:rPr>
                      <w:rFonts w:hint="eastAsia"/>
                    </w:rPr>
                    <w:t>劳保用品岗位</w:t>
                  </w:r>
                  <w:r>
                    <w:rPr>
                      <w:rFonts w:hint="eastAsia"/>
                      <w:lang w:val="en-US" w:eastAsia="zh-CN"/>
                    </w:rPr>
                    <w:t>及使用情况检查；</w:t>
                  </w:r>
                </w:p>
                <w:p>
                  <w:pPr>
                    <w:pStyle w:val="4"/>
                    <w:rPr>
                      <w:rFonts w:hint="eastAsia" w:ascii="Times New Roman" w:hAnsi="Times New Roman" w:eastAsia="宋体" w:cs="Times New Roman"/>
                      <w:kern w:val="2"/>
                      <w:sz w:val="18"/>
                      <w:szCs w:val="18"/>
                      <w:lang w:val="en-US" w:eastAsia="zh-CN" w:bidi="ar-SA"/>
                    </w:rPr>
                  </w:pPr>
                  <w:r>
                    <w:rPr>
                      <w:rFonts w:hint="eastAsia" w:ascii="宋体" w:hAnsi="宋体"/>
                      <w:sz w:val="21"/>
                      <w:szCs w:val="21"/>
                      <w:lang w:val="en-US" w:eastAsia="zh-CN"/>
                    </w:rPr>
                    <w:t>2.</w:t>
                  </w:r>
                  <w:r>
                    <w:rPr>
                      <w:rFonts w:hint="eastAsia" w:ascii="宋体" w:hAnsi="宋体"/>
                      <w:sz w:val="21"/>
                      <w:szCs w:val="21"/>
                    </w:rPr>
                    <w:t>各岗位</w:t>
                  </w:r>
                  <w:r>
                    <w:rPr>
                      <w:rFonts w:hint="eastAsia" w:ascii="宋体" w:hAnsi="宋体"/>
                      <w:sz w:val="21"/>
                      <w:szCs w:val="21"/>
                      <w:lang w:val="en-US" w:eastAsia="zh-CN"/>
                    </w:rPr>
                    <w:t>明确</w:t>
                  </w:r>
                  <w:r>
                    <w:rPr>
                      <w:rFonts w:hint="eastAsia" w:ascii="宋体" w:hAnsi="宋体"/>
                      <w:sz w:val="21"/>
                      <w:szCs w:val="21"/>
                    </w:rPr>
                    <w:t>日常接触的危害因素</w:t>
                  </w:r>
                  <w:r>
                    <w:rPr>
                      <w:rFonts w:hint="eastAsia" w:ascii="宋体" w:hAnsi="宋体"/>
                      <w:sz w:val="21"/>
                      <w:szCs w:val="21"/>
                      <w:lang w:val="en-US" w:eastAsia="zh-CN"/>
                    </w:rPr>
                    <w:t>及预防措施，</w:t>
                  </w:r>
                  <w:r>
                    <w:rPr>
                      <w:rFonts w:hint="eastAsia" w:ascii="宋体" w:hAnsi="宋体"/>
                      <w:sz w:val="21"/>
                      <w:szCs w:val="21"/>
                    </w:rPr>
                    <w:t>以及使用劳保用品的必要性</w:t>
                  </w:r>
                  <w:r>
                    <w:rPr>
                      <w:rFonts w:hint="eastAsia" w:ascii="宋体" w:hAnsi="宋体"/>
                      <w:sz w:val="21"/>
                      <w:szCs w:val="21"/>
                      <w:lang w:eastAsia="zh-CN"/>
                    </w:rPr>
                    <w:t>；</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综合办</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Times New Roman"/>
                      <w:kern w:val="2"/>
                      <w:sz w:val="21"/>
                      <w:szCs w:val="21"/>
                      <w:lang w:val="en-US" w:eastAsia="zh-CN" w:bidi="ar-SA"/>
                    </w:rPr>
                  </w:pPr>
                </w:p>
              </w:tc>
              <w:tc>
                <w:tcPr>
                  <w:tcW w:w="3136" w:type="dxa"/>
                  <w:shd w:val="clear" w:color="auto" w:fill="auto"/>
                  <w:vAlign w:val="center"/>
                </w:tcPr>
                <w:p>
                  <w:pPr>
                    <w:pStyle w:val="4"/>
                    <w:rPr>
                      <w:rFonts w:ascii="Times New Roman" w:hAnsi="Times New Roman" w:eastAsia="宋体" w:cs="Times New Roman"/>
                      <w:kern w:val="2"/>
                      <w:sz w:val="18"/>
                      <w:szCs w:val="18"/>
                      <w:lang w:val="en-US" w:eastAsia="zh-CN" w:bidi="ar-SA"/>
                    </w:rPr>
                  </w:pP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组织的资源状况：■人力资源</w:t>
            </w:r>
            <w:r>
              <w:rPr>
                <w:rFonts w:hint="eastAsia" w:ascii="Wingdings" w:hAnsi="Wingdings"/>
              </w:rPr>
              <w:t>¨</w:t>
            </w:r>
            <w:r>
              <w:rPr>
                <w:rFonts w:hint="eastAsia"/>
              </w:rPr>
              <w:t>自然资源■基础设施</w:t>
            </w:r>
            <w:r>
              <w:rPr>
                <w:rFonts w:hint="eastAsia" w:ascii="Wingdings" w:hAnsi="Wingdings"/>
              </w:rPr>
              <w:t>¨</w:t>
            </w:r>
            <w:r>
              <w:rPr>
                <w:rFonts w:hint="eastAsia"/>
              </w:rPr>
              <w:t>技术■财务资源。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color w:val="auto"/>
                <w:lang w:val="en-US" w:eastAsia="zh-CN"/>
              </w:rPr>
            </w:pPr>
            <w:r>
              <w:rPr>
                <w:rFonts w:hint="eastAsia"/>
                <w:color w:val="auto"/>
              </w:rPr>
              <w:t>建筑面积</w:t>
            </w:r>
            <w:r>
              <w:rPr>
                <w:rFonts w:hint="eastAsia"/>
                <w:color w:val="auto"/>
                <w:u w:val="single"/>
              </w:rPr>
              <w:t xml:space="preserve"> </w:t>
            </w:r>
            <w:r>
              <w:rPr>
                <w:rFonts w:hint="eastAsia"/>
                <w:color w:val="auto"/>
                <w:u w:val="single"/>
                <w:lang w:val="en-US" w:eastAsia="zh-CN"/>
              </w:rPr>
              <w:t>5800</w:t>
            </w:r>
            <w:r>
              <w:rPr>
                <w:rFonts w:hint="eastAsia"/>
                <w:color w:val="auto"/>
                <w:u w:val="single"/>
              </w:rPr>
              <w:t xml:space="preserve">  </w:t>
            </w:r>
            <w:r>
              <w:rPr>
                <w:rFonts w:hint="eastAsia"/>
                <w:color w:val="auto"/>
              </w:rPr>
              <w:t>平方米；生产车间</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个；实验</w:t>
            </w:r>
            <w:r>
              <w:rPr>
                <w:rFonts w:hint="eastAsia"/>
                <w:color w:val="auto"/>
                <w:lang w:val="en-US" w:eastAsia="zh-CN"/>
              </w:rPr>
              <w:t>区</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w:t>
            </w:r>
            <w:r>
              <w:rPr>
                <w:rFonts w:hint="eastAsia"/>
                <w:color w:val="auto"/>
                <w:lang w:val="en-US" w:eastAsia="zh-CN"/>
              </w:rPr>
              <w:t>办公楼</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lang w:val="en-US" w:eastAsia="zh-CN"/>
              </w:rPr>
              <w:t>个</w:t>
            </w:r>
          </w:p>
          <w:p>
            <w:pPr>
              <w:rPr>
                <w:u w:val="single"/>
              </w:rPr>
            </w:pPr>
            <w:r>
              <w:rPr>
                <w:rFonts w:hint="eastAsia"/>
              </w:rPr>
              <w:t>主要生产设备有：</w:t>
            </w:r>
            <w:r>
              <w:rPr>
                <w:rFonts w:hint="eastAsia"/>
                <w:u w:val="single"/>
                <w:lang w:val="en-US" w:eastAsia="zh-CN"/>
              </w:rPr>
              <w:t>灭火器、消防栓</w:t>
            </w:r>
          </w:p>
          <w:p>
            <w:r>
              <w:rPr>
                <w:rFonts w:hint="eastAsia"/>
              </w:rPr>
              <w:t>主要安全装置有：</w:t>
            </w:r>
          </w:p>
          <w:p>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特种设备：■叉车</w:t>
            </w:r>
            <w:r>
              <w:rPr>
                <w:rFonts w:hint="eastAsia"/>
                <w:lang w:eastAsia="zh-CN"/>
              </w:rPr>
              <w:t>（</w:t>
            </w:r>
            <w:r>
              <w:rPr>
                <w:rFonts w:hint="eastAsia"/>
                <w:lang w:val="en-US" w:eastAsia="zh-CN"/>
              </w:rPr>
              <w:t>租赁</w:t>
            </w:r>
            <w:r>
              <w:rPr>
                <w:rFonts w:hint="eastAsia"/>
                <w:lang w:eastAsia="zh-CN"/>
              </w:rPr>
              <w:t>）</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自校■外校</w:t>
            </w:r>
          </w:p>
          <w:p>
            <w:pPr>
              <w:rPr>
                <w:rFonts w:hint="eastAsia" w:eastAsia="宋体"/>
                <w:lang w:eastAsia="zh-CN"/>
              </w:rPr>
            </w:pPr>
            <w:r>
              <w:rPr>
                <w:rFonts w:hint="eastAsia"/>
              </w:rPr>
              <w:t>职业健康安全监测的计量器具有：</w:t>
            </w:r>
            <w:r>
              <w:rPr>
                <w:rFonts w:hint="eastAsia"/>
                <w:szCs w:val="22"/>
                <w:u w:val="single"/>
              </w:rPr>
              <w:t>万用表</w:t>
            </w:r>
            <w:r>
              <w:rPr>
                <w:rFonts w:hint="eastAsia"/>
                <w:szCs w:val="22"/>
                <w:u w:val="single"/>
                <w:lang w:eastAsia="zh-CN"/>
              </w:rPr>
              <w:t>、</w:t>
            </w:r>
            <w:r>
              <w:rPr>
                <w:rFonts w:hint="eastAsia"/>
                <w:szCs w:val="22"/>
                <w:u w:val="single"/>
                <w:lang w:val="en-US" w:eastAsia="zh-CN"/>
              </w:rPr>
              <w:t>接地电阻测试仪</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通过■招聘■换岗■培训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rPr>
                <w:rFonts w:hint="eastAsia" w:eastAsia="宋体"/>
                <w:lang w:val="en-US" w:eastAsia="zh-CN"/>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通过：■会议传达■标语■培训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r>
              <w:rPr>
                <w:rFonts w:hint="eastAsia"/>
              </w:rPr>
              <w:t xml:space="preserve">外部沟通方式：■宣传材料■网站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■工艺流程图■作业文件  </w:t>
            </w:r>
            <w:r>
              <w:rPr>
                <w:rFonts w:ascii="Wingdings" w:hAnsi="Wingdings"/>
              </w:rPr>
              <w:t>□</w:t>
            </w:r>
            <w:r>
              <w:rPr>
                <w:rFonts w:hint="eastAsia"/>
              </w:rPr>
              <w:t xml:space="preserve">MSDS   ■安全操作规程  ■外包控制要求  </w:t>
            </w:r>
            <w:r>
              <w:rPr>
                <w:rFonts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rPr>
              <w:t>■用低危害材料、工艺、运行或设备替代；</w:t>
            </w:r>
          </w:p>
          <w:p>
            <w:r>
              <w:rPr>
                <w:rFonts w:hint="eastAsia"/>
              </w:rPr>
              <w:t>■使用工程控制措施和（或）重新组织工作；</w:t>
            </w:r>
          </w:p>
          <w:p>
            <w:r>
              <w:rPr>
                <w:rFonts w:hint="eastAsia"/>
              </w:rPr>
              <w:t>■使用管理措施，包括培训；</w:t>
            </w:r>
          </w:p>
          <w:p>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无（</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r>
              <w:rPr>
                <w:rFonts w:hint="eastAsia"/>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w:t>
            </w:r>
            <w:r>
              <w:rPr>
                <w:rFonts w:ascii="Wingdings" w:hAnsi="Wingdings"/>
              </w:rPr>
              <w:t>□</w:t>
            </w:r>
            <w:r>
              <w:rPr>
                <w:rFonts w:hint="eastAsia"/>
              </w:rPr>
              <w:t xml:space="preserve">建筑施工 </w:t>
            </w:r>
            <w:r>
              <w:rPr>
                <w:rFonts w:ascii="Wingdings" w:hAnsi="Wingdings"/>
              </w:rPr>
              <w:t>□</w:t>
            </w:r>
            <w:r>
              <w:rPr>
                <w:rFonts w:hint="eastAsia"/>
              </w:rPr>
              <w:t xml:space="preserve">设备维保  </w:t>
            </w:r>
            <w:r>
              <w:rPr>
                <w:rFonts w:ascii="Wingdings" w:hAnsi="Wingdings"/>
              </w:rPr>
              <w:t>□</w:t>
            </w:r>
            <w:r>
              <w:rPr>
                <w:rFonts w:hint="eastAsia"/>
              </w:rPr>
              <w:t xml:space="preserve">运输  </w:t>
            </w:r>
            <w:r>
              <w:rPr>
                <w:rFonts w:ascii="Wingdings" w:hAnsi="Wingdings"/>
              </w:rPr>
              <w:t>□</w:t>
            </w:r>
            <w:r>
              <w:rPr>
                <w:rFonts w:hint="eastAsia"/>
              </w:rPr>
              <w:t>其他</w:t>
            </w:r>
          </w:p>
          <w:p>
            <w:pPr>
              <w:jc w:val="left"/>
            </w:pPr>
            <w:r>
              <w:rPr>
                <w:rFonts w:hint="eastAsia"/>
              </w:rPr>
              <w:t xml:space="preserve">控制方式：■合同约定 ■危害告知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rPr>
                    <w:t>■安全装置 □挂牌上锁管理</w:t>
                  </w:r>
                </w:p>
              </w:tc>
              <w:tc>
                <w:tcPr>
                  <w:tcW w:w="2205" w:type="dxa"/>
                  <w:vAlign w:val="top"/>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rPr>
                    <w:t xml:space="preserve">■漏电保护 </w:t>
                  </w:r>
                  <w:r>
                    <w:rPr>
                      <w:rFonts w:hint="eastAsia"/>
                    </w:rPr>
                    <w:sym w:font="Wingdings 2" w:char="00A3"/>
                  </w:r>
                  <w:r>
                    <w:rPr>
                      <w:rFonts w:hint="eastAsia"/>
                    </w:rPr>
                    <w:t>绝缘用具检测</w:t>
                  </w:r>
                </w:p>
              </w:tc>
              <w:tc>
                <w:tcPr>
                  <w:tcW w:w="2205" w:type="dxa"/>
                  <w:vAlign w:val="top"/>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rPr>
                    <w:sym w:font="Wingdings 2" w:char="00A3"/>
                  </w:r>
                  <w:r>
                    <w:rPr>
                      <w:rFonts w:hint="eastAsia"/>
                    </w:rPr>
                    <w:t>除尘装置  ■穿戴劳保用品（防尘面罩）</w:t>
                  </w:r>
                </w:p>
              </w:tc>
              <w:tc>
                <w:tcPr>
                  <w:tcW w:w="2205" w:type="dxa"/>
                  <w:vAlign w:val="top"/>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□设置围堰  □排风系统 ■穿戴劳保用品</w:t>
                  </w:r>
                </w:p>
              </w:tc>
              <w:tc>
                <w:tcPr>
                  <w:tcW w:w="2205" w:type="dxa"/>
                  <w:vAlign w:val="top"/>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■空间隔离  ■穿戴劳保用品</w:t>
                  </w:r>
                </w:p>
              </w:tc>
              <w:tc>
                <w:tcPr>
                  <w:tcW w:w="2205" w:type="dxa"/>
                  <w:vAlign w:val="top"/>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rPr>
                    <w:t xml:space="preserve">□定期检测  □压力巡视 </w:t>
                  </w:r>
                </w:p>
              </w:tc>
              <w:tc>
                <w:tcPr>
                  <w:tcW w:w="2205" w:type="dxa"/>
                  <w:vAlign w:val="top"/>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rPr>
                    <w:t>■减少作业时间  ■空间隔离  □防暑降温用品</w:t>
                  </w:r>
                </w:p>
              </w:tc>
              <w:tc>
                <w:tcPr>
                  <w:tcW w:w="2205" w:type="dxa"/>
                  <w:vAlign w:val="top"/>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r>
                    <w:t>应急预案</w:t>
                  </w:r>
                  <w:r>
                    <w:rPr>
                      <w:rFonts w:hint="eastAsia"/>
                    </w:rPr>
                    <w:t>、</w:t>
                  </w:r>
                  <w:r>
                    <w:t>消防器材</w:t>
                  </w:r>
                </w:p>
              </w:tc>
              <w:tc>
                <w:tcPr>
                  <w:tcW w:w="2205" w:type="dxa"/>
                  <w:vAlign w:val="top"/>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安全装置检查：■进行了定期检查</w:t>
            </w:r>
            <w:r>
              <w:rPr>
                <w:rFonts w:hint="eastAsia" w:ascii="Wingdings" w:hAnsi="Wingdings"/>
              </w:rPr>
              <w:t>¨</w:t>
            </w:r>
            <w:r>
              <w:rPr>
                <w:rFonts w:hint="eastAsia"/>
              </w:rPr>
              <w:t>未进行定期检查的有：</w:t>
            </w:r>
          </w:p>
          <w:p>
            <w:pPr>
              <w:rPr>
                <w:rFonts w:hint="default"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r>
              <w:rPr>
                <w:rFonts w:hint="eastAsia"/>
                <w:lang w:val="en-US" w:eastAsia="zh-CN"/>
              </w:rPr>
              <w:t>不适用</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组织对产品和服务交付后活动的要求。 </w:t>
            </w:r>
            <w:r>
              <w:rPr>
                <w:rFonts w:ascii="Wingdings" w:hAnsi="Wingdings"/>
              </w:rPr>
              <w:t>□</w:t>
            </w:r>
            <w:r>
              <w:rPr>
                <w:rFonts w:hint="eastAsia"/>
              </w:rPr>
              <w:t xml:space="preserve">废物回收■最终处置 </w:t>
            </w:r>
            <w:r>
              <w:rPr>
                <w:rFonts w:ascii="Wingdings" w:hAnsi="Wingdings"/>
              </w:rPr>
              <w:t>□</w:t>
            </w:r>
            <w:r>
              <w:rPr>
                <w:rFonts w:hint="eastAsia"/>
              </w:rPr>
              <w:t>其他</w:t>
            </w:r>
          </w:p>
          <w:p>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 无</w:t>
            </w:r>
          </w:p>
          <w:p>
            <w:r>
              <w:rPr>
                <w:rFonts w:ascii="Wingdings" w:hAnsi="Wingdings"/>
              </w:rPr>
              <w:t>□</w:t>
            </w:r>
            <w:r>
              <w:rPr>
                <w:rFonts w:hint="eastAsia"/>
              </w:rPr>
              <w:t xml:space="preserve">危险品使用 </w:t>
            </w:r>
            <w:r>
              <w:rPr>
                <w:rFonts w:ascii="Wingdings" w:hAnsi="Wingdings"/>
              </w:rPr>
              <w:t>□</w:t>
            </w:r>
            <w:r>
              <w:rPr>
                <w:rFonts w:hint="eastAsia"/>
              </w:rPr>
              <w:t xml:space="preserve">厂区和车间内布局 </w:t>
            </w:r>
            <w:r>
              <w:rPr>
                <w:rFonts w:ascii="Wingdings" w:hAnsi="Wingdings"/>
              </w:rPr>
              <w:t>□</w:t>
            </w:r>
            <w:r>
              <w:rPr>
                <w:rFonts w:hint="eastAsia"/>
              </w:rPr>
              <w:t xml:space="preserve">设备设施  </w:t>
            </w:r>
            <w:r>
              <w:rPr>
                <w:rFonts w:ascii="Wingdings" w:hAnsi="Wingdings"/>
              </w:rPr>
              <w:t>□</w:t>
            </w:r>
            <w:r>
              <w:rPr>
                <w:rFonts w:hint="eastAsia"/>
              </w:rPr>
              <w:t xml:space="preserve">周边危险源 </w:t>
            </w:r>
            <w:r>
              <w:rPr>
                <w:rFonts w:ascii="Wingdings" w:hAnsi="Wingdings"/>
              </w:rPr>
              <w:t>□</w:t>
            </w:r>
            <w:r>
              <w:rPr>
                <w:rFonts w:hint="eastAsia"/>
              </w:rPr>
              <w:t xml:space="preserve">施工场所 </w:t>
            </w:r>
            <w:r>
              <w:rPr>
                <w:rFonts w:ascii="Wingdings" w:hAnsi="Wingdings"/>
              </w:rPr>
              <w:t>□</w:t>
            </w:r>
            <w:r>
              <w:rPr>
                <w:rFonts w:hint="eastAsia"/>
              </w:rPr>
              <w:t>其他</w:t>
            </w:r>
          </w:p>
          <w:p>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default" w:eastAsia="宋体"/>
                <w:lang w:val="en-US" w:eastAsia="zh-CN"/>
              </w:rPr>
            </w:pPr>
            <w:r>
              <w:rPr>
                <w:rFonts w:hint="eastAsia"/>
              </w:rPr>
              <w:t>■火灾控制¨危化品泄露¨锅炉爆炸¨设备故障¨停水停电■其他</w:t>
            </w:r>
            <w:r>
              <w:rPr>
                <w:rFonts w:hint="eastAsia"/>
                <w:lang w:val="en-US" w:eastAsia="zh-CN"/>
              </w:rPr>
              <w:t xml:space="preserve"> 触电、机械伤害预案</w:t>
            </w:r>
          </w:p>
          <w:p>
            <w:r>
              <w:rPr>
                <w:rFonts w:hint="eastAsia"/>
              </w:rPr>
              <w:t>审核周期内发生过紧急情况：¨未发生¨已发生：。</w:t>
            </w:r>
          </w:p>
          <w:p/>
          <w:p>
            <w:r>
              <w:rPr>
                <w:rFonts w:hint="eastAsia"/>
              </w:rPr>
              <w:t>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16</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hint="eastAsia"/>
              </w:rPr>
            </w:pPr>
            <w:r>
              <w:rPr>
                <w:rFonts w:hint="eastAsia"/>
              </w:rPr>
              <w:t>应急准备和响应控制：■符合要求¨存在不足，说明。</w:t>
            </w:r>
          </w:p>
          <w:p>
            <w:pPr>
              <w:pStyle w:val="4"/>
              <w:rPr>
                <w:rFonts w:hint="eastAsia"/>
              </w:rPr>
            </w:pPr>
          </w:p>
          <w:p>
            <w:pPr>
              <w:pStyle w:val="4"/>
              <w:rPr>
                <w:rFonts w:hint="eastAsia"/>
              </w:rPr>
            </w:pPr>
          </w:p>
          <w:p>
            <w:pPr>
              <w:pStyle w:val="4"/>
              <w:rPr>
                <w:rFonts w:hint="eastAsia"/>
              </w:rPr>
            </w:pP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r>
              <w:rPr>
                <w:rFonts w:hint="eastAsia"/>
              </w:rPr>
              <w:t>。</w:t>
            </w:r>
            <w:bookmarkStart w:id="34" w:name="_GoBack"/>
            <w:bookmarkEnd w:id="34"/>
          </w:p>
          <w:p>
            <w:r>
              <w:rPr>
                <w:rFonts w:hint="eastAsia"/>
              </w:rPr>
              <w:t>实施合规性评价的时间：</w:t>
            </w:r>
          </w:p>
          <w:p>
            <w:r>
              <w:rPr>
                <w:rFonts w:hint="eastAsia"/>
              </w:rPr>
              <w:t>■定期（每年）：</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22</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实施的检测：■企业自检</w:t>
            </w:r>
            <w:r>
              <w:rPr>
                <w:rFonts w:hint="eastAsia" w:ascii="Wingdings" w:hAnsi="Wingdings"/>
              </w:rPr>
              <w:t>¨</w:t>
            </w:r>
            <w:r>
              <w:rPr>
                <w:rFonts w:hint="eastAsia"/>
              </w:rPr>
              <w:t>第三方监测■主管部门抽查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离职■在职（定期）</w:t>
            </w:r>
          </w:p>
          <w:p>
            <w:pPr>
              <w:rPr>
                <w:rFonts w:hint="eastAsia"/>
              </w:rPr>
            </w:pPr>
            <w:r>
              <w:rPr>
                <w:rFonts w:hint="eastAsia"/>
              </w:rPr>
              <w:t>《职业病体检》编号：。</w:t>
            </w:r>
          </w:p>
          <w:p>
            <w:r>
              <w:rPr>
                <w:rFonts w:hint="eastAsia"/>
              </w:rPr>
              <w:t>《建筑消防检测报告》编号：。</w:t>
            </w:r>
          </w:p>
          <w:p>
            <w:r>
              <w:rPr>
                <w:rFonts w:hint="eastAsia"/>
              </w:rPr>
              <w:t>《防雷检测报告》编号：。</w:t>
            </w:r>
          </w:p>
          <w:p>
            <w:r>
              <w:rPr>
                <w:rFonts w:hint="eastAsia"/>
              </w:rPr>
              <w:t>达标评价：■符合要求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组织将管理评审的改进措施的信息沟通给：■相关的工作人员■员工代表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组织针对职业健康安全管理体系运行中的事件(工作有关的伤害或疾病及不利健康)和其他职业健康和安全相关的不符合进行了事件调查、有效纠正和纠正措施。</w:t>
            </w:r>
            <w:r>
              <w:rPr>
                <w:rFonts w:hint="eastAsia"/>
                <w:lang w:val="en-US" w:eastAsia="zh-CN"/>
              </w:rPr>
              <w:t>未发生</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组织将事件调查和纠正措施的信息沟通给：■相关的工作人员■员工代表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9"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7.1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7.2</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7.3</w:t>
            </w:r>
          </w:p>
        </w:tc>
        <w:tc>
          <w:tcPr>
            <w:tcW w:w="769"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7.4</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7.5</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8.1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8.2</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9.1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9.2</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9"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10.1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10.2</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10.3</w:t>
            </w:r>
          </w:p>
        </w:tc>
        <w:tc>
          <w:tcPr>
            <w:tcW w:w="769" w:type="dxa"/>
            <w:shd w:val="clear" w:color="auto" w:fill="F2DCDC" w:themeFill="accent2" w:themeFillTint="32"/>
            <w:vAlign w:val="center"/>
          </w:tcPr>
          <w:p>
            <w:pPr>
              <w:rPr>
                <w:rFonts w:ascii="Times New Roman" w:hAnsi="Times New Roman" w:eastAsia="宋体" w:cs="Times New Roman"/>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9" w:type="dxa"/>
            <w:shd w:val="clear" w:color="auto" w:fill="F2DCDC" w:themeFill="accent2" w:themeFillTint="32"/>
            <w:vAlign w:val="center"/>
          </w:tcPr>
          <w:p>
            <w:pPr>
              <w:rPr>
                <w:rFonts w:ascii="Times New Roman" w:hAnsi="Times New Roman" w:eastAsia="宋体" w:cs="Times New Roman"/>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E1CE3"/>
    <w:multiLevelType w:val="singleLevel"/>
    <w:tmpl w:val="C05E1CE3"/>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46363553"/>
    <w:multiLevelType w:val="singleLevel"/>
    <w:tmpl w:val="4636355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VjOWY5MmIxZGI2NTJmOGI5Yzg2MzEwNzA4OWE1NDUifQ=="/>
  </w:docVars>
  <w:rsids>
    <w:rsidRoot w:val="00000000"/>
    <w:rsid w:val="00765E5C"/>
    <w:rsid w:val="018833D8"/>
    <w:rsid w:val="01916851"/>
    <w:rsid w:val="025B2CB1"/>
    <w:rsid w:val="028D5C85"/>
    <w:rsid w:val="0392661E"/>
    <w:rsid w:val="0803357F"/>
    <w:rsid w:val="08782843"/>
    <w:rsid w:val="089C2522"/>
    <w:rsid w:val="099C2434"/>
    <w:rsid w:val="09D42136"/>
    <w:rsid w:val="0A7669ED"/>
    <w:rsid w:val="0A7E6139"/>
    <w:rsid w:val="0B0125B4"/>
    <w:rsid w:val="0B154EF4"/>
    <w:rsid w:val="0C1B3AA8"/>
    <w:rsid w:val="0D954CB0"/>
    <w:rsid w:val="0D9F5E5D"/>
    <w:rsid w:val="0E2732F5"/>
    <w:rsid w:val="0FA61B22"/>
    <w:rsid w:val="0FF55480"/>
    <w:rsid w:val="10A36C40"/>
    <w:rsid w:val="113519FA"/>
    <w:rsid w:val="14CE3B89"/>
    <w:rsid w:val="14F37A13"/>
    <w:rsid w:val="153C7F53"/>
    <w:rsid w:val="15630AC1"/>
    <w:rsid w:val="15CA17C9"/>
    <w:rsid w:val="163C0E57"/>
    <w:rsid w:val="1655527E"/>
    <w:rsid w:val="16EF5808"/>
    <w:rsid w:val="1AC62E25"/>
    <w:rsid w:val="1ADA0340"/>
    <w:rsid w:val="1B2370F5"/>
    <w:rsid w:val="1C5B2250"/>
    <w:rsid w:val="1CEC7AF7"/>
    <w:rsid w:val="1D836682"/>
    <w:rsid w:val="1DC83281"/>
    <w:rsid w:val="1F901EA7"/>
    <w:rsid w:val="1F9C4EE2"/>
    <w:rsid w:val="22AA7723"/>
    <w:rsid w:val="23491C57"/>
    <w:rsid w:val="236C2D03"/>
    <w:rsid w:val="241C61E6"/>
    <w:rsid w:val="25677688"/>
    <w:rsid w:val="273B2412"/>
    <w:rsid w:val="274E3417"/>
    <w:rsid w:val="28ED036A"/>
    <w:rsid w:val="29057462"/>
    <w:rsid w:val="296A19BB"/>
    <w:rsid w:val="2A23783E"/>
    <w:rsid w:val="2AF358BF"/>
    <w:rsid w:val="2D843A13"/>
    <w:rsid w:val="2DBD655D"/>
    <w:rsid w:val="2EDF3019"/>
    <w:rsid w:val="2F2E2A35"/>
    <w:rsid w:val="30786A6D"/>
    <w:rsid w:val="31244B45"/>
    <w:rsid w:val="31761066"/>
    <w:rsid w:val="318C6454"/>
    <w:rsid w:val="32BF4B25"/>
    <w:rsid w:val="32C91500"/>
    <w:rsid w:val="33B91D1C"/>
    <w:rsid w:val="3649373E"/>
    <w:rsid w:val="366C4FC4"/>
    <w:rsid w:val="36C95CEA"/>
    <w:rsid w:val="378D62E3"/>
    <w:rsid w:val="389C3213"/>
    <w:rsid w:val="39023936"/>
    <w:rsid w:val="39B079DC"/>
    <w:rsid w:val="3A3A37A3"/>
    <w:rsid w:val="3A3C6FD5"/>
    <w:rsid w:val="3AC84793"/>
    <w:rsid w:val="3CDB6E15"/>
    <w:rsid w:val="3D706BA2"/>
    <w:rsid w:val="3E707ED2"/>
    <w:rsid w:val="3EC32BBB"/>
    <w:rsid w:val="3F2413BD"/>
    <w:rsid w:val="3F741949"/>
    <w:rsid w:val="40A24F8C"/>
    <w:rsid w:val="41FF7EDC"/>
    <w:rsid w:val="43277BDB"/>
    <w:rsid w:val="43E770A7"/>
    <w:rsid w:val="44B33DBE"/>
    <w:rsid w:val="451900C5"/>
    <w:rsid w:val="455C7D7A"/>
    <w:rsid w:val="464059DB"/>
    <w:rsid w:val="46A30E45"/>
    <w:rsid w:val="48513FBF"/>
    <w:rsid w:val="49DC3DB7"/>
    <w:rsid w:val="4AAF64E4"/>
    <w:rsid w:val="4ACC0D9C"/>
    <w:rsid w:val="4AEE78FE"/>
    <w:rsid w:val="4B48000A"/>
    <w:rsid w:val="4C0C4361"/>
    <w:rsid w:val="4FD33566"/>
    <w:rsid w:val="50632522"/>
    <w:rsid w:val="50672F54"/>
    <w:rsid w:val="528F1C9C"/>
    <w:rsid w:val="52FD4D8F"/>
    <w:rsid w:val="533267F6"/>
    <w:rsid w:val="53C65608"/>
    <w:rsid w:val="53F87514"/>
    <w:rsid w:val="545F36DD"/>
    <w:rsid w:val="54A51D00"/>
    <w:rsid w:val="56504FFD"/>
    <w:rsid w:val="56B35B72"/>
    <w:rsid w:val="56EB4692"/>
    <w:rsid w:val="5886561A"/>
    <w:rsid w:val="58B9588A"/>
    <w:rsid w:val="594F3C5E"/>
    <w:rsid w:val="59A41813"/>
    <w:rsid w:val="5A455061"/>
    <w:rsid w:val="5AFD3445"/>
    <w:rsid w:val="5F335DCF"/>
    <w:rsid w:val="609D5BF6"/>
    <w:rsid w:val="60D8531C"/>
    <w:rsid w:val="61177770"/>
    <w:rsid w:val="61DD5BCF"/>
    <w:rsid w:val="6226036A"/>
    <w:rsid w:val="62CF5E0F"/>
    <w:rsid w:val="63981D4E"/>
    <w:rsid w:val="63D24341"/>
    <w:rsid w:val="63DE3831"/>
    <w:rsid w:val="64146F16"/>
    <w:rsid w:val="64ED17CB"/>
    <w:rsid w:val="65387820"/>
    <w:rsid w:val="660A5ADC"/>
    <w:rsid w:val="662C1C25"/>
    <w:rsid w:val="663F505A"/>
    <w:rsid w:val="66507293"/>
    <w:rsid w:val="674A642E"/>
    <w:rsid w:val="67FC3452"/>
    <w:rsid w:val="6833299C"/>
    <w:rsid w:val="6913721F"/>
    <w:rsid w:val="69707187"/>
    <w:rsid w:val="69780F2C"/>
    <w:rsid w:val="6AAE27AE"/>
    <w:rsid w:val="6B0B7C00"/>
    <w:rsid w:val="6B90138F"/>
    <w:rsid w:val="6C1449A1"/>
    <w:rsid w:val="6CF10626"/>
    <w:rsid w:val="6E5D0773"/>
    <w:rsid w:val="6FD35191"/>
    <w:rsid w:val="6FFE24FD"/>
    <w:rsid w:val="70567B70"/>
    <w:rsid w:val="7072335F"/>
    <w:rsid w:val="71A820C4"/>
    <w:rsid w:val="71C254BD"/>
    <w:rsid w:val="71C50B09"/>
    <w:rsid w:val="72442643"/>
    <w:rsid w:val="729428D4"/>
    <w:rsid w:val="749D49BC"/>
    <w:rsid w:val="74F02341"/>
    <w:rsid w:val="762538FE"/>
    <w:rsid w:val="7706409E"/>
    <w:rsid w:val="778934F0"/>
    <w:rsid w:val="79385B55"/>
    <w:rsid w:val="79B50CA1"/>
    <w:rsid w:val="79E15135"/>
    <w:rsid w:val="7A2912C6"/>
    <w:rsid w:val="7A3D1D82"/>
    <w:rsid w:val="7AAF67FA"/>
    <w:rsid w:val="7AD718AD"/>
    <w:rsid w:val="7B522421"/>
    <w:rsid w:val="7B656EB9"/>
    <w:rsid w:val="7BBC7D3B"/>
    <w:rsid w:val="7BF86342"/>
    <w:rsid w:val="7D2E685E"/>
    <w:rsid w:val="7D313588"/>
    <w:rsid w:val="7D902913"/>
    <w:rsid w:val="7E2C6E0C"/>
    <w:rsid w:val="7F1B4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4">
    <w:name w:val="font11"/>
    <w:basedOn w:val="10"/>
    <w:qFormat/>
    <w:uiPriority w:val="0"/>
    <w:rPr>
      <w:rFonts w:hint="eastAsia" w:ascii="宋体" w:hAnsi="宋体" w:eastAsia="宋体" w:cs="宋体"/>
      <w:color w:val="000000"/>
      <w:sz w:val="21"/>
      <w:szCs w:val="21"/>
      <w:u w:val="none"/>
    </w:rPr>
  </w:style>
  <w:style w:type="character" w:customStyle="1" w:styleId="25">
    <w:name w:val="font31"/>
    <w:basedOn w:val="10"/>
    <w:qFormat/>
    <w:uiPriority w:val="0"/>
    <w:rPr>
      <w:rFonts w:hint="default" w:ascii="Times New Roman" w:hAnsi="Times New Roman" w:cs="Times New Roman"/>
      <w:color w:val="000000"/>
      <w:sz w:val="21"/>
      <w:szCs w:val="21"/>
      <w:u w:val="none"/>
    </w:rPr>
  </w:style>
  <w:style w:type="character" w:customStyle="1" w:styleId="26">
    <w:name w:val="font41"/>
    <w:basedOn w:val="10"/>
    <w:qFormat/>
    <w:uiPriority w:val="0"/>
    <w:rPr>
      <w:rFonts w:hint="eastAsia" w:ascii="宋体" w:hAnsi="宋体" w:eastAsia="宋体" w:cs="宋体"/>
      <w:color w:val="000000"/>
      <w:sz w:val="22"/>
      <w:szCs w:val="22"/>
      <w:u w:val="none"/>
    </w:rPr>
  </w:style>
  <w:style w:type="character" w:customStyle="1" w:styleId="27">
    <w:name w:val="font2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15780</Words>
  <Characters>16615</Characters>
  <Lines>150</Lines>
  <Paragraphs>42</Paragraphs>
  <TotalTime>1</TotalTime>
  <ScaleCrop>false</ScaleCrop>
  <LinksUpToDate>false</LinksUpToDate>
  <CharactersWithSpaces>17776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付正</cp:lastModifiedBy>
  <cp:lastPrinted>2019-05-13T03:19:00Z</cp:lastPrinted>
  <dcterms:modified xsi:type="dcterms:W3CDTF">2022-08-01T12:22:01Z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