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隶书" w:hAnsi="宋体" w:eastAsia="隶书"/>
          <w:bCs/>
          <w:color w:val="000000"/>
          <w:sz w:val="40"/>
          <w:szCs w:val="40"/>
        </w:rPr>
      </w:pPr>
      <w:r>
        <w:rPr>
          <w:rFonts w:hint="eastAsia" w:ascii="隶书" w:hAnsi="宋体" w:eastAsia="隶书"/>
          <w:bCs/>
          <w:color w:val="000000"/>
          <w:sz w:val="40"/>
          <w:szCs w:val="40"/>
        </w:rPr>
        <w:t>管理体系审核记录表</w:t>
      </w:r>
    </w:p>
    <w:tbl>
      <w:tblPr>
        <w:tblStyle w:val="10"/>
        <w:tblW w:w="494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026"/>
        <w:gridCol w:w="10427"/>
        <w:gridCol w:w="10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vMerge w:val="restart"/>
            <w:tcBorders>
              <w:top w:val="single" w:color="auto" w:sz="8" w:space="0"/>
              <w:bottom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rPr>
            </w:pPr>
            <w:r>
              <w:rPr>
                <w:rFonts w:hint="eastAsia" w:ascii="楷体" w:hAnsi="楷体" w:eastAsia="楷体"/>
                <w:sz w:val="24"/>
                <w:szCs w:val="24"/>
              </w:rPr>
              <w:t>抽样计划</w:t>
            </w:r>
          </w:p>
        </w:tc>
        <w:tc>
          <w:tcPr>
            <w:tcW w:w="1026" w:type="dxa"/>
            <w:vMerge w:val="restart"/>
            <w:tcBorders>
              <w:top w:val="single" w:color="auto" w:sz="8" w:space="0"/>
              <w:bottom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涉及</w:t>
            </w:r>
          </w:p>
          <w:p>
            <w:pPr>
              <w:jc w:val="center"/>
              <w:rPr>
                <w:rFonts w:ascii="楷体" w:hAnsi="楷体" w:eastAsia="楷体"/>
              </w:rPr>
            </w:pPr>
            <w:r>
              <w:rPr>
                <w:rFonts w:hint="eastAsia" w:ascii="楷体" w:hAnsi="楷体" w:eastAsia="楷体"/>
                <w:sz w:val="24"/>
                <w:szCs w:val="24"/>
              </w:rPr>
              <w:t>条款</w:t>
            </w:r>
          </w:p>
        </w:tc>
        <w:tc>
          <w:tcPr>
            <w:tcW w:w="10429" w:type="dxa"/>
            <w:tcBorders>
              <w:top w:val="single" w:color="auto" w:sz="8" w:space="0"/>
              <w:bottom w:val="single" w:color="auto" w:sz="4" w:space="0"/>
            </w:tcBorders>
            <w:vAlign w:val="center"/>
          </w:tcPr>
          <w:p>
            <w:pPr>
              <w:rPr>
                <w:rFonts w:hint="eastAsia" w:ascii="楷体" w:hAnsi="楷体" w:eastAsia="楷体"/>
                <w:sz w:val="24"/>
                <w:szCs w:val="24"/>
                <w:lang w:val="en-US" w:eastAsia="zh-CN"/>
              </w:rPr>
            </w:pPr>
            <w:r>
              <w:rPr>
                <w:rFonts w:hint="eastAsia" w:ascii="楷体" w:hAnsi="楷体" w:eastAsia="楷体"/>
                <w:sz w:val="24"/>
                <w:szCs w:val="24"/>
              </w:rPr>
              <w:t>受审核部门：管理层、员工代表</w:t>
            </w:r>
            <w:r>
              <w:rPr>
                <w:rFonts w:hint="eastAsia" w:ascii="楷体" w:hAnsi="楷体" w:eastAsia="楷体"/>
                <w:sz w:val="24"/>
                <w:szCs w:val="24"/>
                <w:lang w:val="en-US" w:eastAsia="zh-CN"/>
              </w:rPr>
              <w:t xml:space="preserve">        </w:t>
            </w:r>
            <w:r>
              <w:rPr>
                <w:rFonts w:hint="eastAsia" w:ascii="楷体" w:hAnsi="楷体" w:eastAsia="楷体"/>
                <w:sz w:val="24"/>
                <w:szCs w:val="24"/>
              </w:rPr>
              <w:t>主管领导：</w:t>
            </w:r>
            <w:r>
              <w:rPr>
                <w:rFonts w:hint="eastAsia" w:ascii="楷体" w:hAnsi="楷体" w:eastAsia="楷体"/>
                <w:sz w:val="24"/>
                <w:szCs w:val="24"/>
                <w:lang w:val="en-US" w:eastAsia="zh-CN"/>
              </w:rPr>
              <w:t>赵绪荣、</w:t>
            </w:r>
            <w:r>
              <w:rPr>
                <w:rFonts w:hint="eastAsia" w:ascii="楷体" w:hAnsi="楷体" w:eastAsia="楷体"/>
                <w:sz w:val="24"/>
                <w:szCs w:val="24"/>
                <w:lang w:eastAsia="zh-CN"/>
              </w:rPr>
              <w:t>丁辉</w:t>
            </w:r>
            <w:r>
              <w:rPr>
                <w:rFonts w:hint="eastAsia" w:ascii="楷体" w:hAnsi="楷体" w:eastAsia="楷体"/>
                <w:sz w:val="24"/>
                <w:szCs w:val="24"/>
              </w:rPr>
              <w:t>（安全事务代表）</w:t>
            </w:r>
            <w:r>
              <w:rPr>
                <w:rFonts w:hint="eastAsia" w:ascii="楷体" w:hAnsi="楷体" w:eastAsia="楷体"/>
                <w:sz w:val="24"/>
                <w:szCs w:val="24"/>
                <w:lang w:val="en-US" w:eastAsia="zh-CN"/>
              </w:rPr>
              <w:t xml:space="preserve"> </w:t>
            </w:r>
          </w:p>
          <w:p>
            <w:pPr>
              <w:rPr>
                <w:rFonts w:hint="default" w:ascii="楷体" w:hAnsi="楷体" w:eastAsia="楷体"/>
                <w:sz w:val="24"/>
                <w:szCs w:val="24"/>
                <w:lang w:val="en-US" w:eastAsia="zh-CN"/>
              </w:rPr>
            </w:pPr>
            <w:r>
              <w:rPr>
                <w:rFonts w:hint="eastAsia" w:ascii="楷体" w:hAnsi="楷体" w:eastAsia="楷体"/>
                <w:sz w:val="24"/>
                <w:szCs w:val="24"/>
              </w:rPr>
              <w:t>陪同人员：</w:t>
            </w:r>
            <w:r>
              <w:rPr>
                <w:rFonts w:hint="eastAsia" w:ascii="楷体" w:hAnsi="楷体" w:eastAsia="楷体"/>
                <w:sz w:val="24"/>
                <w:szCs w:val="24"/>
                <w:lang w:val="en-US" w:eastAsia="zh-CN"/>
              </w:rPr>
              <w:t>徐慧</w:t>
            </w:r>
          </w:p>
        </w:tc>
        <w:tc>
          <w:tcPr>
            <w:tcW w:w="1054" w:type="dxa"/>
            <w:vMerge w:val="restart"/>
            <w:tcBorders>
              <w:top w:val="single" w:color="auto" w:sz="8" w:space="0"/>
              <w:bottom w:val="single" w:color="auto" w:sz="4" w:space="0"/>
            </w:tcBorders>
            <w:vAlign w:val="center"/>
          </w:tcPr>
          <w:p>
            <w:pPr>
              <w:jc w:val="center"/>
              <w:rPr>
                <w:rFonts w:ascii="楷体" w:hAnsi="楷体" w:eastAsia="楷体"/>
                <w:sz w:val="24"/>
                <w:szCs w:val="24"/>
              </w:rPr>
            </w:pPr>
            <w:r>
              <w:rPr>
                <w:rFonts w:hint="eastAsia" w:ascii="楷体" w:hAnsi="楷体" w:eastAsia="楷体"/>
                <w:sz w:val="24"/>
                <w:szCs w:val="24"/>
              </w:rPr>
              <w:t>判定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vMerge w:val="continue"/>
            <w:tcBorders>
              <w:top w:val="single" w:color="auto" w:sz="4" w:space="0"/>
              <w:bottom w:val="single" w:color="auto" w:sz="4" w:space="0"/>
            </w:tcBorders>
            <w:vAlign w:val="center"/>
          </w:tcPr>
          <w:p/>
        </w:tc>
        <w:tc>
          <w:tcPr>
            <w:tcW w:w="1026" w:type="dxa"/>
            <w:vMerge w:val="continue"/>
            <w:tcBorders>
              <w:top w:val="single" w:color="auto" w:sz="4" w:space="0"/>
              <w:bottom w:val="single" w:color="auto" w:sz="4" w:space="0"/>
            </w:tcBorders>
            <w:vAlign w:val="center"/>
          </w:tcPr>
          <w:p/>
        </w:tc>
        <w:tc>
          <w:tcPr>
            <w:tcW w:w="10429" w:type="dxa"/>
            <w:tcBorders>
              <w:top w:val="single" w:color="auto" w:sz="4" w:space="0"/>
              <w:bottom w:val="single" w:color="auto" w:sz="4" w:space="0"/>
            </w:tcBorders>
            <w:vAlign w:val="center"/>
          </w:tcPr>
          <w:p>
            <w:pPr>
              <w:rPr>
                <w:rFonts w:hint="eastAsia" w:ascii="楷体" w:hAnsi="楷体" w:eastAsia="楷体"/>
                <w:lang w:val="en-US" w:eastAsia="zh-CN"/>
              </w:rPr>
            </w:pPr>
            <w:r>
              <w:rPr>
                <w:rFonts w:hint="eastAsia" w:ascii="楷体" w:hAnsi="楷体" w:eastAsia="楷体"/>
                <w:sz w:val="24"/>
                <w:szCs w:val="24"/>
              </w:rPr>
              <w:t>审核员：汪桂丽                             审核时间：</w:t>
            </w:r>
            <w:r>
              <w:rPr>
                <w:rFonts w:ascii="楷体" w:hAnsi="楷体" w:eastAsia="楷体"/>
                <w:sz w:val="24"/>
                <w:szCs w:val="24"/>
              </w:rPr>
              <w:t>202</w:t>
            </w:r>
            <w:r>
              <w:rPr>
                <w:rFonts w:hint="eastAsia" w:ascii="楷体" w:hAnsi="楷体" w:eastAsia="楷体"/>
                <w:sz w:val="24"/>
                <w:szCs w:val="24"/>
                <w:lang w:val="en-US" w:eastAsia="zh-CN"/>
              </w:rPr>
              <w:t>2</w:t>
            </w:r>
            <w:r>
              <w:rPr>
                <w:rFonts w:ascii="楷体" w:hAnsi="楷体" w:eastAsia="楷体"/>
                <w:sz w:val="24"/>
                <w:szCs w:val="24"/>
              </w:rPr>
              <w:t>.</w:t>
            </w:r>
            <w:r>
              <w:rPr>
                <w:rFonts w:hint="eastAsia" w:ascii="楷体" w:hAnsi="楷体" w:eastAsia="楷体"/>
                <w:sz w:val="24"/>
                <w:szCs w:val="24"/>
                <w:lang w:val="en-US" w:eastAsia="zh-CN"/>
              </w:rPr>
              <w:t>7</w:t>
            </w:r>
            <w:r>
              <w:rPr>
                <w:rFonts w:ascii="楷体" w:hAnsi="楷体" w:eastAsia="楷体"/>
                <w:sz w:val="24"/>
                <w:szCs w:val="24"/>
              </w:rPr>
              <w:t>.</w:t>
            </w:r>
            <w:r>
              <w:rPr>
                <w:rFonts w:hint="eastAsia" w:ascii="楷体" w:hAnsi="楷体" w:eastAsia="楷体"/>
                <w:sz w:val="24"/>
                <w:szCs w:val="24"/>
              </w:rPr>
              <w:t>2</w:t>
            </w:r>
            <w:r>
              <w:rPr>
                <w:rFonts w:hint="eastAsia" w:ascii="楷体" w:hAnsi="楷体" w:eastAsia="楷体"/>
                <w:sz w:val="24"/>
                <w:szCs w:val="24"/>
                <w:lang w:val="en-US" w:eastAsia="zh-CN"/>
              </w:rPr>
              <w:t>5</w:t>
            </w:r>
          </w:p>
        </w:tc>
        <w:tc>
          <w:tcPr>
            <w:tcW w:w="1054" w:type="dxa"/>
            <w:vMerge w:val="continue"/>
            <w:tcBorders>
              <w:top w:val="single" w:color="auto" w:sz="4" w:space="0"/>
              <w:bottom w:val="single" w:color="auto" w:sz="4" w:space="0"/>
            </w:tcBorders>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2120" w:type="dxa"/>
            <w:vMerge w:val="continue"/>
            <w:tcBorders>
              <w:top w:val="single" w:color="auto" w:sz="4" w:space="0"/>
              <w:bottom w:val="single" w:color="auto" w:sz="8" w:space="0"/>
            </w:tcBorders>
            <w:vAlign w:val="center"/>
          </w:tcPr>
          <w:p/>
        </w:tc>
        <w:tc>
          <w:tcPr>
            <w:tcW w:w="1026" w:type="dxa"/>
            <w:vMerge w:val="continue"/>
            <w:tcBorders>
              <w:top w:val="single" w:color="auto" w:sz="4" w:space="0"/>
              <w:bottom w:val="single" w:color="auto" w:sz="8" w:space="0"/>
            </w:tcBorders>
            <w:vAlign w:val="center"/>
          </w:tcPr>
          <w:p/>
        </w:tc>
        <w:tc>
          <w:tcPr>
            <w:tcW w:w="10429" w:type="dxa"/>
            <w:tcBorders>
              <w:top w:val="single" w:color="auto" w:sz="4" w:space="0"/>
              <w:bottom w:val="single" w:color="auto" w:sz="8" w:space="0"/>
            </w:tcBorders>
            <w:vAlign w:val="center"/>
          </w:tcPr>
          <w:p>
            <w:pPr>
              <w:adjustRightInd w:val="0"/>
              <w:snapToGrid w:val="0"/>
              <w:spacing w:line="280" w:lineRule="exact"/>
              <w:ind w:right="105" w:rightChars="50"/>
              <w:textAlignment w:val="baseline"/>
              <w:rPr>
                <w:rFonts w:ascii="宋体" w:hAnsi="宋体" w:cs="Arial"/>
                <w:szCs w:val="21"/>
              </w:rPr>
            </w:pPr>
            <w:r>
              <w:rPr>
                <w:rFonts w:hint="eastAsia" w:ascii="楷体" w:hAnsi="楷体" w:eastAsia="楷体"/>
                <w:sz w:val="24"/>
                <w:szCs w:val="24"/>
              </w:rPr>
              <w:t>审核条款：</w:t>
            </w:r>
            <w:r>
              <w:rPr>
                <w:rFonts w:hint="eastAsia" w:ascii="宋体" w:hAnsi="宋体" w:cs="Arial"/>
                <w:b/>
                <w:bCs/>
                <w:szCs w:val="21"/>
              </w:rPr>
              <w:t>QO:</w:t>
            </w:r>
            <w:r>
              <w:rPr>
                <w:rFonts w:hint="eastAsia" w:ascii="宋体" w:hAnsi="宋体" w:cs="Arial"/>
                <w:szCs w:val="21"/>
              </w:rPr>
              <w:t>4.1理解组织及其环境、4.2理解相关方的需求和期望、4.3 确定管理体系的范围、4.4质量/职业健康安全管理体系及其过程、5.1领导作用和承诺、5.2质量/职业健康安全方针、5.3组织的岗位、职责和权限、5.4（O）协商与参与、6.1应对风险和机遇的措施、6.2质量/职业健康安全目标及其实现的策划、6.3变更的策划、7.1.1（O7.1）资源总则、7.4沟通（信息交流7.4.1总则、7.4.2内部信息、7.4.3外部信息交流）、</w:t>
            </w:r>
            <w:r>
              <w:rPr>
                <w:rFonts w:hint="eastAsia" w:asciiTheme="minorEastAsia" w:hAnsiTheme="minorEastAsia" w:eastAsiaTheme="minorEastAsia"/>
                <w:sz w:val="21"/>
                <w:szCs w:val="21"/>
              </w:rPr>
              <w:t>9.1.1</w:t>
            </w:r>
            <w:r>
              <w:rPr>
                <w:rFonts w:hint="eastAsia" w:asciiTheme="minorEastAsia" w:hAnsiTheme="minorEastAsia" w:eastAsiaTheme="minorEastAsia"/>
                <w:sz w:val="21"/>
                <w:szCs w:val="21"/>
                <w:lang w:val="en-US" w:eastAsia="zh-CN"/>
              </w:rPr>
              <w:t>监视、测量、分析和评价总则</w:t>
            </w:r>
            <w:r>
              <w:rPr>
                <w:rFonts w:hint="eastAsia" w:asciiTheme="minorEastAsia" w:hAnsiTheme="minorEastAsia" w:eastAsiaTheme="minorEastAsia"/>
                <w:sz w:val="21"/>
                <w:szCs w:val="21"/>
              </w:rPr>
              <w:t>,9.1.3</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Q）分析和评价</w:t>
            </w:r>
            <w:r>
              <w:rPr>
                <w:rFonts w:hint="eastAsia" w:asciiTheme="minorEastAsia" w:hAnsiTheme="minorEastAsia" w:eastAsiaTheme="minorEastAsia"/>
                <w:sz w:val="21"/>
                <w:szCs w:val="21"/>
                <w:lang w:eastAsia="zh-CN"/>
              </w:rPr>
              <w:t>、</w:t>
            </w:r>
            <w:r>
              <w:rPr>
                <w:rFonts w:hint="eastAsia" w:ascii="宋体" w:hAnsi="宋体" w:cs="Arial"/>
                <w:szCs w:val="21"/>
              </w:rPr>
              <w:t>9.3管理评审、10.1改进、10.3持续改进，</w:t>
            </w:r>
          </w:p>
          <w:p>
            <w:pPr>
              <w:adjustRightInd w:val="0"/>
              <w:snapToGrid w:val="0"/>
              <w:spacing w:line="280" w:lineRule="exact"/>
              <w:ind w:right="105" w:rightChars="50"/>
              <w:textAlignment w:val="baseline"/>
            </w:pPr>
            <w:r>
              <w:rPr>
                <w:rFonts w:hint="eastAsia" w:ascii="宋体" w:hAnsi="宋体" w:cs="Arial"/>
                <w:szCs w:val="21"/>
              </w:rPr>
              <w:t>国家/地方监督抽查情况；顾客满意、相关方投诉及处理情况；验证企业相关资质证明的有效性，审核问题验证；</w:t>
            </w:r>
          </w:p>
        </w:tc>
        <w:tc>
          <w:tcPr>
            <w:tcW w:w="1054" w:type="dxa"/>
            <w:vMerge w:val="continue"/>
            <w:tcBorders>
              <w:top w:val="single" w:color="auto" w:sz="4" w:space="0"/>
              <w:bottom w:val="single" w:color="auto" w:sz="8" w:space="0"/>
            </w:tcBorders>
          </w:tcPr>
          <w:p>
            <w:pPr>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Borders>
              <w:top w:val="single" w:color="auto" w:sz="8" w:space="0"/>
            </w:tcBorders>
          </w:tcPr>
          <w:p>
            <w:pPr>
              <w:rPr>
                <w:rFonts w:ascii="宋体" w:hAnsi="宋体" w:cs="Arial"/>
                <w:szCs w:val="21"/>
              </w:rPr>
            </w:pPr>
            <w:r>
              <w:rPr>
                <w:rFonts w:hint="eastAsia" w:ascii="宋体" w:hAnsi="宋体" w:cs="Arial"/>
                <w:szCs w:val="21"/>
              </w:rPr>
              <w:t>理解组织及其环境</w:t>
            </w:r>
          </w:p>
        </w:tc>
        <w:tc>
          <w:tcPr>
            <w:tcW w:w="1026" w:type="dxa"/>
            <w:tcBorders>
              <w:top w:val="single" w:color="auto" w:sz="8" w:space="0"/>
            </w:tcBorders>
          </w:tcPr>
          <w:p>
            <w:pPr>
              <w:rPr>
                <w:rFonts w:ascii="宋体" w:hAnsi="宋体" w:cs="Arial"/>
                <w:szCs w:val="21"/>
              </w:rPr>
            </w:pPr>
            <w:r>
              <w:rPr>
                <w:rFonts w:hint="eastAsia" w:ascii="宋体" w:hAnsi="宋体" w:cs="Arial"/>
                <w:szCs w:val="21"/>
              </w:rPr>
              <w:t>4.1</w:t>
            </w:r>
          </w:p>
        </w:tc>
        <w:tc>
          <w:tcPr>
            <w:tcW w:w="10429" w:type="dxa"/>
            <w:tcBorders>
              <w:top w:val="single" w:color="auto" w:sz="8" w:space="0"/>
            </w:tcBorders>
          </w:tcPr>
          <w:p>
            <w:pPr>
              <w:ind w:firstLine="420" w:firstLineChars="200"/>
              <w:jc w:val="left"/>
            </w:pPr>
            <w:r>
              <w:rPr>
                <w:rFonts w:hint="eastAsia"/>
                <w:lang w:val="en-US" w:eastAsia="zh-CN"/>
              </w:rPr>
              <w:t>与</w:t>
            </w:r>
            <w:r>
              <w:rPr>
                <w:rFonts w:hint="eastAsia"/>
              </w:rPr>
              <w:t>公司</w:t>
            </w:r>
            <w:r>
              <w:rPr>
                <w:rFonts w:hint="eastAsia"/>
                <w:lang w:val="en-US" w:eastAsia="zh-CN"/>
              </w:rPr>
              <w:t>领导</w:t>
            </w:r>
            <w:r>
              <w:rPr>
                <w:rFonts w:hint="eastAsia"/>
              </w:rPr>
              <w:t>交流：</w:t>
            </w:r>
          </w:p>
          <w:p>
            <w:pPr>
              <w:spacing w:line="360" w:lineRule="auto"/>
              <w:ind w:firstLine="420" w:firstLineChars="200"/>
            </w:pPr>
            <w:r>
              <w:rPr>
                <w:rFonts w:hint="eastAsia"/>
              </w:rPr>
              <w:t>本公司在建立质量、职业健康安全综合管理体系时，确定外部和内部那些与组织的宗旨、战略方向有关、影响质量、职业健康安全综合管理体系实现预期结果的能力的事务。</w:t>
            </w:r>
          </w:p>
          <w:p>
            <w:pPr>
              <w:spacing w:line="360" w:lineRule="auto"/>
              <w:ind w:firstLine="420" w:firstLineChars="200"/>
            </w:pPr>
            <w:r>
              <w:rPr>
                <w:rFonts w:hint="eastAsia"/>
              </w:rPr>
              <w:t>公司在确定这些相关的内部和外部事宜时，公</w:t>
            </w:r>
            <w:r>
              <w:rPr>
                <w:rFonts w:hint="eastAsia"/>
                <w:lang w:val="en-US" w:eastAsia="zh-CN"/>
              </w:rPr>
              <w:t>司</w:t>
            </w:r>
            <w:r>
              <w:rPr>
                <w:rFonts w:hint="eastAsia"/>
              </w:rPr>
              <w:t>考虑以下方面：</w:t>
            </w:r>
          </w:p>
          <w:p>
            <w:pPr>
              <w:spacing w:line="360" w:lineRule="auto"/>
              <w:ind w:left="420" w:leftChars="200"/>
            </w:pPr>
            <w:r>
              <w:t>a</w:t>
            </w:r>
            <w:r>
              <w:rPr>
                <w:rFonts w:hint="eastAsia"/>
              </w:rPr>
              <w:t>）可能对公司的目标造成影响的变更和趋势；</w:t>
            </w:r>
          </w:p>
          <w:p>
            <w:pPr>
              <w:spacing w:line="360" w:lineRule="auto"/>
              <w:ind w:left="420" w:leftChars="200"/>
            </w:pPr>
            <w:r>
              <w:t>b</w:t>
            </w:r>
            <w:r>
              <w:rPr>
                <w:rFonts w:hint="eastAsia"/>
              </w:rPr>
              <w:t>）与相关方的关系，以及相关方的理念、价值观；</w:t>
            </w:r>
          </w:p>
          <w:p>
            <w:pPr>
              <w:spacing w:line="360" w:lineRule="auto"/>
              <w:ind w:left="420" w:leftChars="200"/>
            </w:pPr>
            <w:r>
              <w:t>c</w:t>
            </w:r>
            <w:r>
              <w:rPr>
                <w:rFonts w:hint="eastAsia"/>
              </w:rPr>
              <w:t>）公司管理、战略优先、内部政策和承诺；</w:t>
            </w:r>
          </w:p>
          <w:p>
            <w:pPr>
              <w:spacing w:line="360" w:lineRule="auto"/>
              <w:ind w:left="420" w:leftChars="200"/>
            </w:pPr>
            <w:r>
              <w:t>d</w:t>
            </w:r>
            <w:r>
              <w:rPr>
                <w:rFonts w:hint="eastAsia"/>
              </w:rPr>
              <w:t>）资源的获得和优先供给、技术变更；</w:t>
            </w:r>
          </w:p>
          <w:p>
            <w:pPr>
              <w:spacing w:line="360" w:lineRule="auto"/>
              <w:ind w:left="420" w:leftChars="200"/>
              <w:rPr>
                <w:rFonts w:hint="eastAsia"/>
              </w:rPr>
            </w:pPr>
            <w:r>
              <w:t xml:space="preserve">e) </w:t>
            </w:r>
            <w:r>
              <w:rPr>
                <w:rFonts w:hint="eastAsia"/>
              </w:rPr>
              <w:t>受组织影响的或能够影响组织的职业健康安全因素。</w:t>
            </w:r>
          </w:p>
          <w:p>
            <w:pPr>
              <w:pStyle w:val="17"/>
              <w:spacing w:line="400" w:lineRule="exact"/>
            </w:pPr>
            <w:r>
              <w:rPr>
                <w:color w:val="auto"/>
                <w:sz w:val="21"/>
                <w:szCs w:val="21"/>
              </w:rPr>
              <w:t xml:space="preserve">  </w:t>
            </w:r>
            <w:r>
              <w:rPr>
                <w:rFonts w:hint="eastAsia"/>
                <w:color w:val="auto"/>
                <w:sz w:val="21"/>
                <w:szCs w:val="21"/>
                <w:lang w:val="en-US" w:eastAsia="zh-CN"/>
              </w:rPr>
              <w:t xml:space="preserve">  </w:t>
            </w:r>
            <w:r>
              <w:rPr>
                <w:color w:val="auto"/>
                <w:sz w:val="21"/>
                <w:szCs w:val="21"/>
              </w:rPr>
              <w:t xml:space="preserve">公司管理层和各部门可根据上述涉及到本部门的内外部因素，在年度工作总结报告中进行分析，运用SWOT分析法对内、外部环境进行优势、劣势、威胁、风险和机遇分析，对存在劣势和威胁的可能性方面制定控制措施，尽可能将风险控制在可接受的范围内，对机遇出现时应及时把握，有效的利用机遇。    </w:t>
            </w:r>
          </w:p>
        </w:tc>
        <w:tc>
          <w:tcPr>
            <w:tcW w:w="1054" w:type="dxa"/>
            <w:tcBorders>
              <w:top w:val="single" w:color="auto" w:sz="8" w:space="0"/>
            </w:tcBorders>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rPr>
                <w:rFonts w:ascii="宋体" w:hAnsi="宋体" w:cs="Arial"/>
                <w:szCs w:val="21"/>
              </w:rPr>
            </w:pPr>
            <w:r>
              <w:rPr>
                <w:rFonts w:hint="eastAsia" w:ascii="宋体" w:hAnsi="宋体" w:cs="Arial"/>
                <w:szCs w:val="21"/>
              </w:rPr>
              <w:t>理解相关方的需求和期望</w:t>
            </w:r>
          </w:p>
        </w:tc>
        <w:tc>
          <w:tcPr>
            <w:tcW w:w="1026" w:type="dxa"/>
          </w:tcPr>
          <w:p>
            <w:pPr>
              <w:rPr>
                <w:rFonts w:ascii="宋体" w:hAnsi="宋体" w:cs="Arial"/>
                <w:szCs w:val="21"/>
              </w:rPr>
            </w:pPr>
            <w:r>
              <w:rPr>
                <w:rFonts w:hint="eastAsia" w:ascii="宋体" w:hAnsi="宋体" w:cs="Arial"/>
                <w:szCs w:val="21"/>
              </w:rPr>
              <w:t>4.2</w:t>
            </w:r>
          </w:p>
        </w:tc>
        <w:tc>
          <w:tcPr>
            <w:tcW w:w="10429" w:type="dxa"/>
          </w:tcPr>
          <w:p>
            <w:pPr>
              <w:spacing w:line="360" w:lineRule="auto"/>
              <w:ind w:left="420" w:leftChars="200"/>
              <w:rPr>
                <w:rFonts w:hint="eastAsia" w:ascii="Times New Roman" w:hAnsi="Times New Roman" w:eastAsia="宋体" w:cs="Times New Roman"/>
              </w:rPr>
            </w:pPr>
            <w:r>
              <w:rPr>
                <w:rFonts w:hint="eastAsia" w:ascii="Times New Roman" w:hAnsi="Times New Roman" w:eastAsia="宋体" w:cs="Times New Roman"/>
              </w:rPr>
              <w:t>公司建立了管理文件，分别对相关方的需求及期望进行识别确认，并对这类需求及要求等进行管理及定期更</w:t>
            </w:r>
          </w:p>
          <w:p>
            <w:pPr>
              <w:spacing w:line="360" w:lineRule="auto"/>
              <w:rPr>
                <w:rFonts w:ascii="Times New Roman" w:hAnsi="Times New Roman" w:eastAsia="宋体" w:cs="Times New Roman"/>
              </w:rPr>
            </w:pPr>
            <w:r>
              <w:rPr>
                <w:rFonts w:hint="eastAsia" w:ascii="Times New Roman" w:hAnsi="Times New Roman" w:eastAsia="宋体" w:cs="Times New Roman"/>
              </w:rPr>
              <w:t xml:space="preserve">新，保持有效性。各负责部门按控制措施执行，满足这些相关方需求和期望，没有发生相关方投诉现象。 </w:t>
            </w:r>
          </w:p>
          <w:p>
            <w:pPr>
              <w:spacing w:line="360" w:lineRule="auto"/>
              <w:ind w:left="420" w:leftChars="200"/>
              <w:rPr>
                <w:rFonts w:hint="eastAsia" w:ascii="Times New Roman" w:hAnsi="Times New Roman" w:eastAsia="宋体" w:cs="Times New Roman"/>
              </w:rPr>
            </w:pPr>
            <w:r>
              <w:rPr>
                <w:rFonts w:hint="eastAsia" w:ascii="Times New Roman" w:hAnsi="Times New Roman" w:eastAsia="宋体" w:cs="Times New Roman"/>
                <w:lang w:val="en-US" w:eastAsia="zh-CN"/>
              </w:rPr>
              <w:t>公</w:t>
            </w:r>
            <w:r>
              <w:rPr>
                <w:rFonts w:hint="eastAsia" w:ascii="Times New Roman" w:hAnsi="Times New Roman" w:eastAsia="宋体" w:cs="Times New Roman"/>
              </w:rPr>
              <w:t>司</w:t>
            </w:r>
            <w:r>
              <w:rPr>
                <w:rFonts w:hint="eastAsia" w:ascii="Times New Roman" w:hAnsi="Times New Roman" w:eastAsia="宋体" w:cs="Times New Roman"/>
                <w:lang w:eastAsia="zh-CN"/>
              </w:rPr>
              <w:t>总经理</w:t>
            </w:r>
            <w:r>
              <w:rPr>
                <w:rFonts w:hint="eastAsia" w:ascii="Times New Roman" w:hAnsi="Times New Roman" w:eastAsia="宋体" w:cs="Times New Roman"/>
              </w:rPr>
              <w:t>说明公司相关方包括：客户（最终使用者以及直接客户）、供方、委托方、员工（包括管理者）、</w:t>
            </w:r>
          </w:p>
          <w:p>
            <w:pPr>
              <w:spacing w:line="360" w:lineRule="auto"/>
              <w:rPr>
                <w:rFonts w:ascii="Times New Roman" w:hAnsi="Times New Roman" w:eastAsia="宋体" w:cs="Times New Roman"/>
              </w:rPr>
            </w:pPr>
            <w:r>
              <w:rPr>
                <w:rFonts w:hint="eastAsia" w:ascii="Times New Roman" w:hAnsi="Times New Roman" w:eastAsia="宋体" w:cs="Times New Roman"/>
              </w:rPr>
              <w:t>政府部门，以及其他人员。</w:t>
            </w:r>
          </w:p>
          <w:p>
            <w:pPr>
              <w:spacing w:line="360" w:lineRule="auto"/>
              <w:ind w:left="420" w:leftChars="200"/>
              <w:rPr>
                <w:rFonts w:hint="eastAsia" w:ascii="Times New Roman" w:hAnsi="Times New Roman" w:eastAsia="宋体" w:cs="Times New Roman"/>
              </w:rPr>
            </w:pPr>
            <w:r>
              <w:rPr>
                <w:rFonts w:hint="eastAsia" w:ascii="Times New Roman" w:hAnsi="Times New Roman" w:eastAsia="宋体" w:cs="Times New Roman"/>
              </w:rPr>
              <w:t>公司识别、收集了适用的法律法规及其他相关要求并形成清单，定期对本公司职业健康安全管理体系运</w:t>
            </w:r>
          </w:p>
          <w:p>
            <w:pPr>
              <w:spacing w:line="360" w:lineRule="auto"/>
            </w:pPr>
            <w:r>
              <w:rPr>
                <w:rFonts w:hint="eastAsia" w:ascii="Times New Roman" w:hAnsi="Times New Roman" w:eastAsia="宋体" w:cs="Times New Roman"/>
              </w:rPr>
              <w:t>行过程中，应遵循的国家安全防护法律法规的承诺状况进行了评价。</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rPr>
                <w:rFonts w:ascii="宋体" w:hAnsi="宋体" w:cs="Arial"/>
                <w:szCs w:val="21"/>
                <w:lang w:val="en-GB"/>
              </w:rPr>
            </w:pPr>
            <w:r>
              <w:rPr>
                <w:rFonts w:hint="eastAsia" w:ascii="宋体" w:hAnsi="宋体" w:cs="Arial"/>
                <w:szCs w:val="21"/>
              </w:rPr>
              <w:t>确定质量</w:t>
            </w:r>
            <w:r>
              <w:rPr>
                <w:rFonts w:hint="eastAsia" w:ascii="宋体" w:hAnsi="宋体" w:cs="Arial"/>
                <w:szCs w:val="21"/>
                <w:lang w:eastAsia="zh-CN"/>
              </w:rPr>
              <w:t>、</w:t>
            </w:r>
            <w:r>
              <w:rPr>
                <w:rFonts w:hint="eastAsia" w:ascii="宋体" w:hAnsi="宋体" w:cs="Arial"/>
                <w:szCs w:val="21"/>
                <w:lang w:val="en-GB"/>
              </w:rPr>
              <w:t>职业健康安全</w:t>
            </w:r>
            <w:r>
              <w:rPr>
                <w:rFonts w:hint="eastAsia" w:ascii="宋体" w:hAnsi="宋体" w:cs="Arial"/>
                <w:szCs w:val="21"/>
              </w:rPr>
              <w:t xml:space="preserve">管理体系的范围 </w:t>
            </w:r>
          </w:p>
          <w:p/>
        </w:tc>
        <w:tc>
          <w:tcPr>
            <w:tcW w:w="1026" w:type="dxa"/>
          </w:tcPr>
          <w:p>
            <w:pPr>
              <w:rPr>
                <w:rFonts w:ascii="宋体" w:hAnsi="宋体" w:cs="Arial"/>
                <w:color w:val="auto"/>
                <w:szCs w:val="21"/>
              </w:rPr>
            </w:pPr>
            <w:r>
              <w:rPr>
                <w:rFonts w:hint="eastAsia" w:ascii="宋体" w:hAnsi="宋体" w:cs="Arial"/>
                <w:color w:val="auto"/>
                <w:szCs w:val="21"/>
              </w:rPr>
              <w:t xml:space="preserve">4.3 </w:t>
            </w:r>
          </w:p>
        </w:tc>
        <w:tc>
          <w:tcPr>
            <w:tcW w:w="10429" w:type="dxa"/>
          </w:tcPr>
          <w:p>
            <w:pPr>
              <w:spacing w:line="360" w:lineRule="auto"/>
              <w:ind w:left="420" w:leftChars="200"/>
              <w:rPr>
                <w:rFonts w:hint="eastAsia" w:ascii="Times New Roman" w:hAnsi="Times New Roman" w:eastAsia="宋体" w:cs="Times New Roman"/>
                <w:color w:val="auto"/>
              </w:rPr>
            </w:pPr>
            <w:r>
              <w:rPr>
                <w:rFonts w:hint="eastAsia" w:ascii="Times New Roman" w:hAnsi="Times New Roman" w:eastAsia="宋体" w:cs="Times New Roman"/>
                <w:color w:val="auto"/>
              </w:rPr>
              <w:t>公司在确定管理体系范围时公司考虑了以下内容：各种内部和外部因素；相关方的要求，相关合规义务；组织的活动、产品和服务等；</w:t>
            </w:r>
          </w:p>
          <w:p>
            <w:pPr>
              <w:spacing w:line="360" w:lineRule="auto"/>
              <w:ind w:left="420" w:leftChars="200"/>
              <w:rPr>
                <w:rFonts w:hint="default" w:ascii="Times New Roman" w:hAnsi="Times New Roman" w:eastAsia="宋体" w:cs="Times New Roman"/>
                <w:color w:val="auto"/>
                <w:lang w:val="en-US" w:eastAsia="zh-CN"/>
              </w:rPr>
            </w:pPr>
            <w:bookmarkStart w:id="0" w:name="生产地址"/>
            <w:r>
              <w:rPr>
                <w:rFonts w:hint="eastAsia" w:ascii="Times New Roman" w:hAnsi="Times New Roman" w:eastAsia="宋体" w:cs="Times New Roman"/>
                <w:color w:val="auto"/>
                <w:lang w:val="en-US" w:eastAsia="zh-CN"/>
              </w:rPr>
              <w:t>注册地址：</w:t>
            </w:r>
            <w:bookmarkStart w:id="1" w:name="注册地址"/>
            <w:r>
              <w:rPr>
                <w:rFonts w:asciiTheme="minorEastAsia" w:hAnsiTheme="minorEastAsia" w:eastAsiaTheme="minorEastAsia"/>
                <w:color w:val="auto"/>
                <w:sz w:val="20"/>
              </w:rPr>
              <w:t>山东省青岛市黄岛区海滨工业园</w:t>
            </w:r>
            <w:bookmarkEnd w:id="1"/>
          </w:p>
          <w:p>
            <w:pPr>
              <w:spacing w:line="360" w:lineRule="auto"/>
              <w:ind w:left="420" w:leftChars="200"/>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经营地址：</w:t>
            </w:r>
            <w:bookmarkEnd w:id="0"/>
            <w:r>
              <w:rPr>
                <w:rFonts w:asciiTheme="minorEastAsia" w:hAnsiTheme="minorEastAsia" w:eastAsiaTheme="minorEastAsia"/>
                <w:color w:val="auto"/>
                <w:sz w:val="20"/>
              </w:rPr>
              <w:t>山东省青岛市黄岛区海滨工业园寨子山路358号</w:t>
            </w:r>
          </w:p>
          <w:p>
            <w:pPr>
              <w:spacing w:line="360" w:lineRule="auto"/>
              <w:ind w:left="420" w:leftChars="200"/>
              <w:rPr>
                <w:rFonts w:hint="eastAsia" w:ascii="Times New Roman" w:hAnsi="Times New Roman" w:eastAsia="宋体" w:cs="Times New Roman"/>
                <w:color w:val="auto"/>
              </w:rPr>
            </w:pPr>
            <w:r>
              <w:rPr>
                <w:rFonts w:hint="eastAsia" w:ascii="Times New Roman" w:hAnsi="Times New Roman" w:eastAsia="宋体" w:cs="Times New Roman"/>
                <w:color w:val="auto"/>
              </w:rPr>
              <w:t>公司的部门设置包括：管理层、</w:t>
            </w:r>
            <w:r>
              <w:rPr>
                <w:rFonts w:hint="eastAsia" w:cs="Times New Roman"/>
                <w:color w:val="auto"/>
                <w:lang w:val="en-US" w:eastAsia="zh-CN"/>
              </w:rPr>
              <w:t>综合办</w:t>
            </w:r>
            <w:r>
              <w:rPr>
                <w:rFonts w:hint="eastAsia" w:ascii="Times New Roman" w:hAnsi="Times New Roman" w:eastAsia="宋体" w:cs="Times New Roman"/>
                <w:color w:val="auto"/>
              </w:rPr>
              <w:t>、</w:t>
            </w:r>
            <w:r>
              <w:rPr>
                <w:rFonts w:hint="eastAsia" w:cs="Times New Roman"/>
                <w:color w:val="auto"/>
                <w:lang w:eastAsia="zh-CN"/>
              </w:rPr>
              <w:t>生技部</w:t>
            </w:r>
            <w:r>
              <w:rPr>
                <w:rFonts w:hint="eastAsia" w:ascii="Times New Roman" w:hAnsi="Times New Roman" w:eastAsia="宋体" w:cs="Times New Roman"/>
                <w:color w:val="auto"/>
                <w:lang w:val="en-US" w:eastAsia="zh-CN"/>
              </w:rPr>
              <w:t>、</w:t>
            </w:r>
            <w:r>
              <w:rPr>
                <w:rFonts w:hint="eastAsia" w:cs="Times New Roman"/>
                <w:color w:val="auto"/>
                <w:lang w:eastAsia="zh-CN"/>
              </w:rPr>
              <w:t>质管部、</w:t>
            </w:r>
            <w:r>
              <w:rPr>
                <w:rFonts w:hint="eastAsia" w:cs="Times New Roman"/>
                <w:color w:val="auto"/>
                <w:lang w:val="en-US" w:eastAsia="zh-CN"/>
              </w:rPr>
              <w:t>供销部</w:t>
            </w:r>
            <w:r>
              <w:rPr>
                <w:rFonts w:hint="eastAsia" w:ascii="Times New Roman" w:hAnsi="Times New Roman" w:eastAsia="宋体" w:cs="Times New Roman"/>
                <w:color w:val="auto"/>
              </w:rPr>
              <w:t>；</w:t>
            </w:r>
          </w:p>
          <w:p>
            <w:pPr>
              <w:rPr>
                <w:rFonts w:hint="eastAsia" w:cs="Times New Roman"/>
                <w:color w:val="auto"/>
                <w:lang w:val="en-US" w:eastAsia="zh-CN"/>
              </w:rPr>
            </w:pPr>
            <w:r>
              <w:rPr>
                <w:rFonts w:hint="eastAsia" w:cs="Times New Roman"/>
                <w:color w:val="auto"/>
                <w:lang w:val="en-US" w:eastAsia="zh-CN"/>
              </w:rPr>
              <w:t xml:space="preserve">    原公司管理体系范围为：</w:t>
            </w:r>
          </w:p>
          <w:p>
            <w:pPr>
              <w:ind w:firstLine="420" w:firstLineChars="200"/>
              <w:rPr>
                <w:rFonts w:hint="default"/>
                <w:lang w:val="en-US" w:eastAsia="zh-CN"/>
              </w:rPr>
            </w:pPr>
            <w:r>
              <w:rPr>
                <w:rFonts w:hint="eastAsia"/>
                <w:lang w:val="en-US" w:eastAsia="zh-CN"/>
              </w:rPr>
              <w:t>Q 石墨复合接地体的生产及销售</w:t>
            </w:r>
          </w:p>
          <w:p>
            <w:pPr>
              <w:pStyle w:val="2"/>
              <w:ind w:firstLine="460" w:firstLineChars="200"/>
              <w:rPr>
                <w:rFonts w:hint="default" w:eastAsia="宋体"/>
                <w:lang w:val="en-US" w:eastAsia="zh-CN"/>
              </w:rPr>
            </w:pPr>
            <w:r>
              <w:rPr>
                <w:rFonts w:hint="eastAsia"/>
                <w:lang w:val="en-US" w:eastAsia="zh-CN"/>
              </w:rPr>
              <w:t>O石墨复合接地体的生产及销售所涉及场所相关的职业健康安全管理活动</w:t>
            </w:r>
          </w:p>
          <w:p>
            <w:pPr>
              <w:spacing w:line="360" w:lineRule="auto"/>
              <w:ind w:left="420" w:leftChars="200"/>
              <w:rPr>
                <w:rFonts w:hint="eastAsia" w:ascii="Times New Roman" w:hAnsi="Times New Roman" w:eastAsia="宋体" w:cs="Times New Roman"/>
                <w:color w:val="auto"/>
              </w:rPr>
            </w:pPr>
            <w:r>
              <w:rPr>
                <w:rFonts w:hint="eastAsia" w:cs="Times New Roman"/>
                <w:color w:val="auto"/>
                <w:lang w:val="en-US" w:eastAsia="zh-CN"/>
              </w:rPr>
              <w:t>现</w:t>
            </w:r>
            <w:r>
              <w:rPr>
                <w:rFonts w:hint="eastAsia" w:ascii="Times New Roman" w:hAnsi="Times New Roman" w:eastAsia="宋体" w:cs="Times New Roman"/>
                <w:color w:val="auto"/>
              </w:rPr>
              <w:t>公司管理体系</w:t>
            </w:r>
            <w:r>
              <w:rPr>
                <w:rFonts w:hint="eastAsia" w:cs="Times New Roman"/>
                <w:color w:val="auto"/>
                <w:lang w:val="en-US" w:eastAsia="zh-CN"/>
              </w:rPr>
              <w:t>扩项</w:t>
            </w:r>
            <w:r>
              <w:rPr>
                <w:rFonts w:hint="eastAsia" w:ascii="Times New Roman" w:hAnsi="Times New Roman" w:eastAsia="宋体" w:cs="Times New Roman"/>
                <w:color w:val="auto"/>
              </w:rPr>
              <w:t>范围为：</w:t>
            </w:r>
          </w:p>
          <w:p>
            <w:pPr>
              <w:ind w:firstLine="400" w:firstLineChars="200"/>
              <w:rPr>
                <w:color w:val="auto"/>
                <w:sz w:val="20"/>
              </w:rPr>
            </w:pPr>
            <w:bookmarkStart w:id="2" w:name="审核范围"/>
            <w:r>
              <w:rPr>
                <w:color w:val="auto"/>
                <w:sz w:val="20"/>
              </w:rPr>
              <w:t>Q：</w:t>
            </w:r>
            <w:r>
              <w:rPr>
                <w:sz w:val="20"/>
              </w:rPr>
              <w:t>石墨复合接地体和铜覆钢接地极</w:t>
            </w:r>
            <w:r>
              <w:rPr>
                <w:color w:val="auto"/>
                <w:sz w:val="20"/>
              </w:rPr>
              <w:t>的生产及销售</w:t>
            </w:r>
          </w:p>
          <w:p>
            <w:pPr>
              <w:spacing w:line="360" w:lineRule="auto"/>
              <w:ind w:left="420" w:leftChars="200"/>
              <w:rPr>
                <w:rFonts w:hint="eastAsia" w:ascii="Times New Roman" w:hAnsi="Times New Roman" w:eastAsia="宋体" w:cs="Times New Roman"/>
                <w:color w:val="auto"/>
              </w:rPr>
            </w:pPr>
            <w:r>
              <w:rPr>
                <w:color w:val="auto"/>
                <w:sz w:val="20"/>
              </w:rPr>
              <w:t>O：</w:t>
            </w:r>
            <w:r>
              <w:rPr>
                <w:sz w:val="20"/>
              </w:rPr>
              <w:t>石墨复合接地体和铜覆钢接地极</w:t>
            </w:r>
            <w:r>
              <w:rPr>
                <w:color w:val="auto"/>
                <w:sz w:val="20"/>
              </w:rPr>
              <w:t>的生产及销售所涉及场所相关的职业健康安全管理活动</w:t>
            </w:r>
            <w:bookmarkEnd w:id="2"/>
            <w:r>
              <w:rPr>
                <w:rFonts w:hint="eastAsia" w:ascii="Times New Roman" w:hAnsi="Times New Roman" w:eastAsia="宋体" w:cs="Times New Roman"/>
                <w:color w:val="auto"/>
              </w:rPr>
              <w:t>；</w:t>
            </w:r>
          </w:p>
          <w:p>
            <w:pPr>
              <w:pStyle w:val="2"/>
              <w:ind w:firstLine="460" w:firstLineChars="200"/>
              <w:rPr>
                <w:rFonts w:hint="default" w:ascii="宋体" w:hAnsi="宋体" w:cs="宋体"/>
                <w:bCs/>
                <w:color w:val="auto"/>
                <w:spacing w:val="10"/>
                <w:sz w:val="22"/>
                <w:szCs w:val="22"/>
                <w:lang w:val="en-US"/>
              </w:rPr>
            </w:pPr>
            <w:r>
              <w:rPr>
                <w:rFonts w:hint="eastAsia" w:cs="Times New Roman"/>
                <w:color w:val="auto"/>
                <w:lang w:val="en-US" w:eastAsia="zh-CN"/>
              </w:rPr>
              <w:t xml:space="preserve"> </w:t>
            </w:r>
            <w:r>
              <w:rPr>
                <w:rFonts w:hint="eastAsia" w:ascii="Times New Roman" w:hAnsi="Times New Roman" w:eastAsia="宋体" w:cs="Times New Roman"/>
                <w:color w:val="auto"/>
              </w:rPr>
              <w:t>外包过程：</w:t>
            </w:r>
            <w:r>
              <w:rPr>
                <w:sz w:val="20"/>
              </w:rPr>
              <w:t>铜覆钢接地极</w:t>
            </w:r>
            <w:r>
              <w:rPr>
                <w:rFonts w:hint="eastAsia"/>
                <w:sz w:val="20"/>
                <w:lang w:val="en-US" w:eastAsia="zh-CN"/>
              </w:rPr>
              <w:t>电镀过程，运输外包</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rPr>
                <w:rFonts w:ascii="宋体" w:hAnsi="宋体" w:cs="Arial"/>
                <w:szCs w:val="21"/>
              </w:rPr>
            </w:pPr>
            <w:r>
              <w:rPr>
                <w:rFonts w:hint="eastAsia" w:ascii="宋体" w:hAnsi="宋体" w:cs="Arial"/>
                <w:szCs w:val="21"/>
                <w:lang w:eastAsia="zh-CN"/>
              </w:rPr>
              <w:t>质量、职业健康安全管理体系</w:t>
            </w:r>
            <w:r>
              <w:rPr>
                <w:rFonts w:hint="eastAsia" w:ascii="宋体" w:hAnsi="宋体" w:cs="Arial"/>
                <w:szCs w:val="21"/>
              </w:rPr>
              <w:t>及其过程</w:t>
            </w:r>
          </w:p>
          <w:p/>
        </w:tc>
        <w:tc>
          <w:tcPr>
            <w:tcW w:w="1026" w:type="dxa"/>
          </w:tcPr>
          <w:p>
            <w:pPr>
              <w:rPr>
                <w:rFonts w:ascii="宋体" w:hAnsi="宋体" w:cs="Arial"/>
                <w:szCs w:val="21"/>
              </w:rPr>
            </w:pPr>
            <w:r>
              <w:rPr>
                <w:rFonts w:hint="eastAsia" w:ascii="宋体" w:hAnsi="宋体" w:cs="Arial"/>
                <w:szCs w:val="21"/>
              </w:rPr>
              <w:t xml:space="preserve">4.4 </w:t>
            </w:r>
          </w:p>
          <w:p/>
        </w:tc>
        <w:tc>
          <w:tcPr>
            <w:tcW w:w="10429" w:type="dxa"/>
          </w:tcPr>
          <w:p>
            <w:pPr>
              <w:spacing w:line="360" w:lineRule="auto"/>
              <w:ind w:left="420" w:leftChars="200"/>
              <w:rPr>
                <w:rFonts w:hint="eastAsia" w:ascii="Times New Roman" w:hAnsi="Times New Roman" w:eastAsia="宋体" w:cs="Times New Roman"/>
              </w:rPr>
            </w:pPr>
            <w:r>
              <w:rPr>
                <w:rFonts w:hint="eastAsia" w:ascii="Times New Roman" w:hAnsi="Times New Roman" w:eastAsia="宋体" w:cs="Times New Roman"/>
              </w:rPr>
              <w:t>公司在建立并保持</w:t>
            </w:r>
            <w:r>
              <w:rPr>
                <w:rFonts w:hint="eastAsia" w:cs="Times New Roman"/>
                <w:lang w:eastAsia="zh-CN"/>
              </w:rPr>
              <w:t>质量、职业健康安全管理体系</w:t>
            </w:r>
            <w:r>
              <w:rPr>
                <w:rFonts w:hint="eastAsia" w:ascii="Times New Roman" w:hAnsi="Times New Roman" w:eastAsia="宋体" w:cs="Times New Roman"/>
              </w:rPr>
              <w:t>时，考虑了标准4.1和4.2获得的知识并已形成文件</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化信息要求；</w:t>
            </w:r>
          </w:p>
          <w:p>
            <w:pPr>
              <w:spacing w:line="360" w:lineRule="auto"/>
              <w:ind w:left="420" w:leftChars="200"/>
              <w:rPr>
                <w:rFonts w:hint="eastAsia" w:ascii="Times New Roman" w:hAnsi="Times New Roman" w:eastAsia="宋体" w:cs="Times New Roman"/>
                <w:lang w:val="en-US" w:eastAsia="zh-CN"/>
              </w:rPr>
            </w:pPr>
            <w:r>
              <w:rPr>
                <w:rFonts w:hint="eastAsia" w:ascii="Times New Roman" w:hAnsi="Times New Roman" w:eastAsia="宋体" w:cs="Times New Roman"/>
              </w:rPr>
              <w:t>明确了管理可能影响过程输出和管理体系整体结果的风险；其中包括确定了管理体系范围、组织结构图、</w:t>
            </w:r>
            <w:r>
              <w:rPr>
                <w:rFonts w:hint="eastAsia" w:ascii="Times New Roman" w:hAnsi="Times New Roman" w:eastAsia="宋体" w:cs="Times New Roman"/>
                <w:lang w:val="en-US" w:eastAsia="zh-CN"/>
              </w:rPr>
              <w:t>生</w:t>
            </w:r>
          </w:p>
          <w:p>
            <w:pPr>
              <w:spacing w:line="360" w:lineRule="auto"/>
              <w:rPr>
                <w:rFonts w:hint="eastAsia" w:ascii="Times New Roman" w:hAnsi="Times New Roman" w:eastAsia="宋体" w:cs="Times New Roman"/>
              </w:rPr>
            </w:pPr>
            <w:r>
              <w:rPr>
                <w:rFonts w:hint="eastAsia" w:ascii="Times New Roman" w:hAnsi="Times New Roman" w:eastAsia="宋体" w:cs="Times New Roman"/>
                <w:lang w:val="en-US" w:eastAsia="zh-CN"/>
              </w:rPr>
              <w:t>产和</w:t>
            </w:r>
            <w:r>
              <w:rPr>
                <w:rFonts w:hint="eastAsia" w:ascii="Times New Roman" w:hAnsi="Times New Roman" w:eastAsia="宋体" w:cs="Times New Roman"/>
              </w:rPr>
              <w:t>服务的过程/能力、绩效指标的确定、风险及机遇的识别、职责和权限的</w:t>
            </w:r>
            <w:r>
              <w:rPr>
                <w:rFonts w:hint="eastAsia" w:ascii="Times New Roman" w:hAnsi="Times New Roman" w:eastAsia="宋体" w:cs="Times New Roman"/>
                <w:lang w:val="en-US" w:eastAsia="zh-CN"/>
              </w:rPr>
              <w:t>明确</w:t>
            </w:r>
            <w:r>
              <w:rPr>
                <w:rFonts w:hint="eastAsia" w:ascii="Times New Roman" w:hAnsi="Times New Roman" w:eastAsia="宋体" w:cs="Times New Roman"/>
              </w:rPr>
              <w:t>、识别了变更对过程的影响、及体系应获取的资源、提供了内审和管理评审的实施情况等。</w:t>
            </w:r>
          </w:p>
          <w:p>
            <w:pPr>
              <w:spacing w:line="360" w:lineRule="auto"/>
              <w:ind w:left="420" w:leftChars="200"/>
              <w:rPr>
                <w:rFonts w:hint="eastAsia" w:ascii="Times New Roman" w:hAnsi="Times New Roman" w:eastAsia="宋体" w:cs="Times New Roman"/>
              </w:rPr>
            </w:pPr>
            <w:r>
              <w:rPr>
                <w:rFonts w:hint="eastAsia" w:ascii="Times New Roman" w:hAnsi="Times New Roman" w:eastAsia="宋体" w:cs="Times New Roman"/>
              </w:rPr>
              <w:t>公司确定体系的目标和实现这些目标所需的过程；明确了为管理过程确定职责、权限和义务；确定了组织的</w:t>
            </w:r>
          </w:p>
          <w:p>
            <w:pPr>
              <w:spacing w:line="360" w:lineRule="auto"/>
              <w:rPr>
                <w:rFonts w:hint="eastAsia" w:ascii="Times New Roman" w:hAnsi="Times New Roman" w:eastAsia="宋体" w:cs="Times New Roman"/>
              </w:rPr>
            </w:pPr>
            <w:r>
              <w:rPr>
                <w:rFonts w:hint="eastAsia" w:ascii="Times New Roman" w:hAnsi="Times New Roman" w:eastAsia="宋体" w:cs="Times New Roman"/>
              </w:rPr>
              <w:t>能力及预先确定资源约束条件；确定了过程相互依赖的关系，分析了个别过程的变更对整个体系的影响；公司为确保获得必要的信息，以运行和改进过程并监视、分析和评价整个体系的绩效；</w:t>
            </w:r>
          </w:p>
          <w:p>
            <w:pPr>
              <w:spacing w:line="360" w:lineRule="auto"/>
              <w:ind w:left="420" w:leftChars="200"/>
              <w:rPr>
                <w:rFonts w:hint="default" w:ascii="宋体" w:hAnsi="宋体" w:eastAsia="宋体" w:cs="宋体"/>
                <w:bCs/>
                <w:color w:val="000000"/>
                <w:spacing w:val="10"/>
                <w:sz w:val="22"/>
                <w:szCs w:val="22"/>
                <w:lang w:val="en-US" w:eastAsia="zh-CN"/>
              </w:rPr>
            </w:pPr>
            <w:r>
              <w:rPr>
                <w:rFonts w:hint="eastAsia" w:ascii="宋体" w:hAnsi="宋体" w:cs="宋体"/>
                <w:bCs/>
                <w:color w:val="000000"/>
                <w:spacing w:val="10"/>
                <w:sz w:val="22"/>
                <w:szCs w:val="22"/>
                <w:lang w:val="en-US" w:eastAsia="zh-CN"/>
              </w:rPr>
              <w:t>符合标准要求。</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r>
              <w:rPr>
                <w:rFonts w:hint="eastAsia" w:ascii="宋体" w:hAnsi="宋体" w:cs="宋体"/>
                <w:szCs w:val="21"/>
              </w:rPr>
              <w:t>领导作用与承诺——总则</w:t>
            </w:r>
          </w:p>
        </w:tc>
        <w:tc>
          <w:tcPr>
            <w:tcW w:w="1026" w:type="dxa"/>
          </w:tcPr>
          <w:p>
            <w:pPr>
              <w:rPr>
                <w:rFonts w:ascii="宋体" w:hAnsi="宋体" w:cs="宋体"/>
                <w:szCs w:val="21"/>
              </w:rPr>
            </w:pPr>
            <w:r>
              <w:rPr>
                <w:rFonts w:hint="eastAsia" w:ascii="宋体" w:hAnsi="宋体" w:cs="宋体"/>
                <w:szCs w:val="21"/>
              </w:rPr>
              <w:t>5.1</w:t>
            </w:r>
          </w:p>
          <w:p>
            <w:pPr>
              <w:rPr>
                <w:rFonts w:ascii="宋体" w:hAnsi="宋体" w:cs="宋体"/>
                <w:szCs w:val="21"/>
              </w:rPr>
            </w:pPr>
            <w:r>
              <w:rPr>
                <w:rFonts w:hint="eastAsia" w:ascii="宋体" w:hAnsi="宋体" w:cs="宋体"/>
                <w:szCs w:val="21"/>
              </w:rPr>
              <w:t>5.1.1</w:t>
            </w:r>
          </w:p>
          <w:p/>
        </w:tc>
        <w:tc>
          <w:tcPr>
            <w:tcW w:w="10429" w:type="dxa"/>
            <w:vAlign w:val="center"/>
          </w:tcPr>
          <w:p>
            <w:pPr>
              <w:ind w:firstLine="420" w:firstLineChars="200"/>
              <w:jc w:val="left"/>
              <w:rPr>
                <w:color w:val="auto"/>
                <w:sz w:val="21"/>
                <w:szCs w:val="21"/>
              </w:rPr>
            </w:pPr>
            <w:r>
              <w:rPr>
                <w:rFonts w:hint="eastAsia"/>
                <w:color w:val="auto"/>
                <w:sz w:val="21"/>
                <w:szCs w:val="21"/>
                <w:lang w:val="en-US" w:eastAsia="zh-CN"/>
              </w:rPr>
              <w:t>总经理</w:t>
            </w:r>
            <w:r>
              <w:rPr>
                <w:rFonts w:hint="eastAsia"/>
                <w:color w:val="auto"/>
                <w:sz w:val="21"/>
                <w:szCs w:val="21"/>
              </w:rPr>
              <w:t>通过以下方面证实其</w:t>
            </w:r>
            <w:r>
              <w:rPr>
                <w:rFonts w:hint="eastAsia"/>
                <w:color w:val="auto"/>
                <w:sz w:val="21"/>
                <w:szCs w:val="21"/>
                <w:lang w:eastAsia="zh-CN"/>
              </w:rPr>
              <w:t>质量、职业健康安全管理体系</w:t>
            </w:r>
            <w:r>
              <w:rPr>
                <w:rFonts w:hint="eastAsia"/>
                <w:color w:val="auto"/>
                <w:sz w:val="21"/>
                <w:szCs w:val="21"/>
              </w:rPr>
              <w:t>的领导作用与承诺：</w:t>
            </w:r>
          </w:p>
          <w:p>
            <w:pPr>
              <w:numPr>
                <w:ilvl w:val="0"/>
                <w:numId w:val="1"/>
              </w:numPr>
              <w:ind w:left="845" w:leftChars="0" w:hanging="425" w:firstLineChars="0"/>
              <w:jc w:val="left"/>
              <w:rPr>
                <w:color w:val="auto"/>
                <w:sz w:val="21"/>
                <w:szCs w:val="21"/>
              </w:rPr>
            </w:pPr>
            <w:r>
              <w:rPr>
                <w:color w:val="auto"/>
                <w:sz w:val="21"/>
                <w:szCs w:val="21"/>
              </w:rPr>
              <w:t>对</w:t>
            </w:r>
            <w:r>
              <w:rPr>
                <w:rFonts w:hint="eastAsia"/>
                <w:color w:val="auto"/>
                <w:sz w:val="21"/>
                <w:szCs w:val="21"/>
                <w:lang w:eastAsia="zh-CN"/>
              </w:rPr>
              <w:t>质量、职业健康安全管理体系</w:t>
            </w:r>
            <w:r>
              <w:rPr>
                <w:color w:val="auto"/>
                <w:sz w:val="21"/>
                <w:szCs w:val="21"/>
              </w:rPr>
              <w:t xml:space="preserve">的有效性承担责任； </w:t>
            </w:r>
          </w:p>
          <w:p>
            <w:pPr>
              <w:numPr>
                <w:ilvl w:val="0"/>
                <w:numId w:val="1"/>
              </w:numPr>
              <w:ind w:left="845" w:leftChars="0" w:hanging="425" w:firstLineChars="0"/>
              <w:jc w:val="left"/>
              <w:rPr>
                <w:color w:val="auto"/>
                <w:sz w:val="21"/>
                <w:szCs w:val="21"/>
              </w:rPr>
            </w:pPr>
            <w:r>
              <w:rPr>
                <w:color w:val="auto"/>
                <w:sz w:val="21"/>
                <w:szCs w:val="21"/>
              </w:rPr>
              <w:t>确保制定</w:t>
            </w:r>
            <w:r>
              <w:rPr>
                <w:rFonts w:hint="eastAsia"/>
                <w:color w:val="auto"/>
                <w:sz w:val="21"/>
                <w:szCs w:val="21"/>
                <w:lang w:eastAsia="zh-CN"/>
              </w:rPr>
              <w:t>质量、职业健康安全管理体系</w:t>
            </w:r>
            <w:r>
              <w:rPr>
                <w:color w:val="auto"/>
                <w:sz w:val="21"/>
                <w:szCs w:val="21"/>
              </w:rPr>
              <w:t xml:space="preserve">的质量方针和管理目标,并与组织环境和战略方向相一致； </w:t>
            </w:r>
          </w:p>
          <w:p>
            <w:pPr>
              <w:numPr>
                <w:ilvl w:val="0"/>
                <w:numId w:val="1"/>
              </w:numPr>
              <w:ind w:left="845" w:leftChars="0" w:hanging="425" w:firstLineChars="0"/>
              <w:jc w:val="left"/>
              <w:rPr>
                <w:color w:val="auto"/>
                <w:sz w:val="21"/>
                <w:szCs w:val="21"/>
              </w:rPr>
            </w:pPr>
            <w:r>
              <w:rPr>
                <w:color w:val="auto"/>
                <w:sz w:val="21"/>
                <w:szCs w:val="21"/>
              </w:rPr>
              <w:t>确保</w:t>
            </w:r>
            <w:r>
              <w:rPr>
                <w:rFonts w:hint="eastAsia"/>
                <w:color w:val="auto"/>
                <w:sz w:val="21"/>
                <w:szCs w:val="21"/>
                <w:lang w:eastAsia="zh-CN"/>
              </w:rPr>
              <w:t>质量、职业健康安全管理体系</w:t>
            </w:r>
            <w:r>
              <w:rPr>
                <w:color w:val="auto"/>
                <w:sz w:val="21"/>
                <w:szCs w:val="21"/>
              </w:rPr>
              <w:t xml:space="preserve">要求融入与组织的业务过程； </w:t>
            </w:r>
          </w:p>
          <w:p>
            <w:pPr>
              <w:numPr>
                <w:ilvl w:val="0"/>
                <w:numId w:val="1"/>
              </w:numPr>
              <w:ind w:left="845" w:leftChars="0" w:hanging="425" w:firstLineChars="0"/>
              <w:jc w:val="left"/>
              <w:rPr>
                <w:color w:val="auto"/>
                <w:sz w:val="21"/>
                <w:szCs w:val="21"/>
              </w:rPr>
            </w:pPr>
            <w:r>
              <w:rPr>
                <w:color w:val="auto"/>
                <w:sz w:val="21"/>
                <w:szCs w:val="21"/>
              </w:rPr>
              <w:t xml:space="preserve">促进使用过程方法和基于风险的思维； </w:t>
            </w:r>
          </w:p>
          <w:p>
            <w:pPr>
              <w:numPr>
                <w:ilvl w:val="0"/>
                <w:numId w:val="1"/>
              </w:numPr>
              <w:ind w:left="845" w:leftChars="0" w:hanging="425" w:firstLineChars="0"/>
              <w:jc w:val="left"/>
              <w:rPr>
                <w:color w:val="auto"/>
                <w:sz w:val="21"/>
                <w:szCs w:val="21"/>
              </w:rPr>
            </w:pPr>
            <w:r>
              <w:rPr>
                <w:color w:val="auto"/>
                <w:sz w:val="21"/>
                <w:szCs w:val="21"/>
              </w:rPr>
              <w:t>确保获得</w:t>
            </w:r>
            <w:r>
              <w:rPr>
                <w:rFonts w:hint="eastAsia"/>
                <w:color w:val="auto"/>
                <w:sz w:val="21"/>
                <w:szCs w:val="21"/>
                <w:lang w:eastAsia="zh-CN"/>
              </w:rPr>
              <w:t>质量、职业健康安全管理体系</w:t>
            </w:r>
            <w:r>
              <w:rPr>
                <w:color w:val="auto"/>
                <w:sz w:val="21"/>
                <w:szCs w:val="21"/>
              </w:rPr>
              <w:t xml:space="preserve">所需的资源； </w:t>
            </w:r>
          </w:p>
          <w:p>
            <w:pPr>
              <w:numPr>
                <w:ilvl w:val="0"/>
                <w:numId w:val="1"/>
              </w:numPr>
              <w:ind w:left="845" w:leftChars="0" w:hanging="425" w:firstLineChars="0"/>
              <w:jc w:val="left"/>
              <w:rPr>
                <w:color w:val="auto"/>
                <w:sz w:val="21"/>
                <w:szCs w:val="21"/>
              </w:rPr>
            </w:pPr>
            <w:r>
              <w:rPr>
                <w:color w:val="auto"/>
                <w:sz w:val="21"/>
                <w:szCs w:val="21"/>
              </w:rPr>
              <w:t>沟通有效的质量管理和符合</w:t>
            </w:r>
            <w:r>
              <w:rPr>
                <w:rFonts w:hint="eastAsia"/>
                <w:color w:val="auto"/>
                <w:sz w:val="21"/>
                <w:szCs w:val="21"/>
                <w:lang w:eastAsia="zh-CN"/>
              </w:rPr>
              <w:t>质量、职业健康安全管理体系</w:t>
            </w:r>
            <w:r>
              <w:rPr>
                <w:color w:val="auto"/>
                <w:sz w:val="21"/>
                <w:szCs w:val="21"/>
              </w:rPr>
              <w:t xml:space="preserve">要求的重要性； </w:t>
            </w:r>
          </w:p>
          <w:p>
            <w:pPr>
              <w:numPr>
                <w:ilvl w:val="0"/>
                <w:numId w:val="1"/>
              </w:numPr>
              <w:ind w:left="845" w:leftChars="0" w:hanging="425" w:firstLineChars="0"/>
              <w:jc w:val="left"/>
              <w:rPr>
                <w:color w:val="auto"/>
                <w:sz w:val="21"/>
                <w:szCs w:val="21"/>
              </w:rPr>
            </w:pPr>
            <w:r>
              <w:rPr>
                <w:color w:val="auto"/>
                <w:sz w:val="21"/>
                <w:szCs w:val="21"/>
              </w:rPr>
              <w:t>确保实现</w:t>
            </w:r>
            <w:r>
              <w:rPr>
                <w:rFonts w:hint="eastAsia"/>
                <w:color w:val="auto"/>
                <w:sz w:val="21"/>
                <w:szCs w:val="21"/>
                <w:lang w:eastAsia="zh-CN"/>
              </w:rPr>
              <w:t>质量、职业健康安全管理体系</w:t>
            </w:r>
            <w:r>
              <w:rPr>
                <w:color w:val="auto"/>
                <w:sz w:val="21"/>
                <w:szCs w:val="21"/>
              </w:rPr>
              <w:t xml:space="preserve">的预期结果； </w:t>
            </w:r>
          </w:p>
          <w:p>
            <w:pPr>
              <w:numPr>
                <w:ilvl w:val="0"/>
                <w:numId w:val="1"/>
              </w:numPr>
              <w:ind w:left="845" w:leftChars="0" w:hanging="425" w:firstLineChars="0"/>
              <w:jc w:val="left"/>
              <w:rPr>
                <w:color w:val="auto"/>
                <w:sz w:val="21"/>
                <w:szCs w:val="21"/>
              </w:rPr>
            </w:pPr>
            <w:r>
              <w:rPr>
                <w:color w:val="auto"/>
                <w:sz w:val="21"/>
                <w:szCs w:val="21"/>
              </w:rPr>
              <w:t>促使、指导和支持员工努力提高</w:t>
            </w:r>
            <w:r>
              <w:rPr>
                <w:rFonts w:hint="eastAsia"/>
                <w:color w:val="auto"/>
                <w:sz w:val="21"/>
                <w:szCs w:val="21"/>
                <w:lang w:eastAsia="zh-CN"/>
              </w:rPr>
              <w:t>质量、职业健康安全管理体系</w:t>
            </w:r>
            <w:r>
              <w:rPr>
                <w:color w:val="auto"/>
                <w:sz w:val="21"/>
                <w:szCs w:val="21"/>
              </w:rPr>
              <w:t xml:space="preserve">的有效性； </w:t>
            </w:r>
          </w:p>
          <w:p>
            <w:pPr>
              <w:numPr>
                <w:ilvl w:val="0"/>
                <w:numId w:val="1"/>
              </w:numPr>
              <w:ind w:left="845" w:leftChars="0" w:hanging="425" w:firstLineChars="0"/>
              <w:jc w:val="left"/>
              <w:rPr>
                <w:color w:val="auto"/>
                <w:sz w:val="21"/>
                <w:szCs w:val="21"/>
              </w:rPr>
            </w:pPr>
            <w:r>
              <w:rPr>
                <w:color w:val="auto"/>
                <w:sz w:val="21"/>
                <w:szCs w:val="21"/>
              </w:rPr>
              <w:t>推动改进</w:t>
            </w:r>
            <w:r>
              <w:rPr>
                <w:rFonts w:hint="eastAsia"/>
                <w:color w:val="auto"/>
                <w:sz w:val="21"/>
                <w:szCs w:val="21"/>
                <w:lang w:eastAsia="zh-CN"/>
              </w:rPr>
              <w:t>。</w:t>
            </w:r>
          </w:p>
          <w:p>
            <w:pPr>
              <w:ind w:firstLine="420" w:firstLineChars="200"/>
              <w:jc w:val="left"/>
              <w:rPr>
                <w:color w:val="auto"/>
                <w:sz w:val="21"/>
                <w:szCs w:val="21"/>
              </w:rPr>
            </w:pPr>
            <w:r>
              <w:rPr>
                <w:color w:val="auto"/>
                <w:sz w:val="21"/>
                <w:szCs w:val="21"/>
              </w:rPr>
              <w:t xml:space="preserve">   </w:t>
            </w:r>
          </w:p>
          <w:p>
            <w:pPr>
              <w:ind w:firstLine="420" w:firstLineChars="200"/>
              <w:jc w:val="left"/>
              <w:rPr>
                <w:color w:val="auto"/>
                <w:sz w:val="21"/>
                <w:szCs w:val="21"/>
              </w:rPr>
            </w:pPr>
            <w:r>
              <w:rPr>
                <w:rFonts w:hint="eastAsia"/>
                <w:color w:val="auto"/>
                <w:sz w:val="21"/>
                <w:szCs w:val="21"/>
                <w:lang w:val="en-US" w:eastAsia="zh-CN"/>
              </w:rPr>
              <w:t>各</w:t>
            </w:r>
            <w:r>
              <w:rPr>
                <w:color w:val="auto"/>
                <w:sz w:val="21"/>
                <w:szCs w:val="21"/>
              </w:rPr>
              <w:t>管理者应配合</w:t>
            </w:r>
            <w:r>
              <w:rPr>
                <w:rFonts w:hint="eastAsia"/>
                <w:color w:val="auto"/>
                <w:sz w:val="21"/>
                <w:szCs w:val="21"/>
              </w:rPr>
              <w:t>总经理</w:t>
            </w:r>
            <w:r>
              <w:rPr>
                <w:color w:val="auto"/>
                <w:sz w:val="21"/>
                <w:szCs w:val="21"/>
              </w:rPr>
              <w:t>开展管理范围内的各项工作，对分管</w:t>
            </w:r>
            <w:r>
              <w:rPr>
                <w:rFonts w:hint="eastAsia"/>
                <w:color w:val="auto"/>
                <w:sz w:val="21"/>
                <w:szCs w:val="21"/>
              </w:rPr>
              <w:t>的</w:t>
            </w:r>
            <w:r>
              <w:rPr>
                <w:color w:val="auto"/>
                <w:sz w:val="21"/>
                <w:szCs w:val="21"/>
              </w:rPr>
              <w:t>部门管理体系运行的有效性负责，指导和控制分管范围的工作，不断提升管理水平。</w:t>
            </w:r>
          </w:p>
          <w:p>
            <w:pPr>
              <w:ind w:firstLine="460" w:firstLineChars="200"/>
              <w:jc w:val="left"/>
              <w:rPr>
                <w:rFonts w:ascii="宋体" w:hAnsi="宋体" w:cs="宋体"/>
                <w:bCs/>
                <w:color w:val="000000"/>
                <w:spacing w:val="10"/>
                <w:sz w:val="21"/>
                <w:szCs w:val="21"/>
              </w:rPr>
            </w:pPr>
            <w:r>
              <w:rPr>
                <w:rFonts w:hint="eastAsia" w:ascii="宋体" w:hAnsi="宋体" w:cs="宋体"/>
                <w:bCs/>
                <w:color w:val="000000"/>
                <w:spacing w:val="10"/>
                <w:sz w:val="21"/>
                <w:szCs w:val="21"/>
              </w:rPr>
              <w:t>公司对全体员工进行了产品质量以及顾客关注焦点的宣传和培训，制定了管理文件和管理目标并按规定进行了管理评审，管理体系基本得到了落实。</w:t>
            </w:r>
          </w:p>
          <w:p>
            <w:pPr>
              <w:ind w:firstLine="460" w:firstLineChars="200"/>
              <w:jc w:val="left"/>
              <w:rPr>
                <w:rFonts w:ascii="宋体" w:hAnsi="宋体" w:cs="宋体"/>
                <w:bCs/>
                <w:color w:val="000000"/>
                <w:spacing w:val="10"/>
                <w:sz w:val="21"/>
                <w:szCs w:val="21"/>
              </w:rPr>
            </w:pPr>
            <w:r>
              <w:rPr>
                <w:rFonts w:hint="eastAsia" w:ascii="宋体" w:hAnsi="宋体" w:cs="宋体"/>
                <w:bCs/>
                <w:color w:val="000000"/>
                <w:spacing w:val="10"/>
                <w:sz w:val="21"/>
                <w:szCs w:val="21"/>
              </w:rPr>
              <w:t>管理层通过制定方针和目标并通过会议、培训等形式要求员工理解企业的方针目标以及传达守法经营及达到顾客满意的质量意识的重要性并形成制度化，强调企业实施管理体系的重要性。</w:t>
            </w:r>
          </w:p>
          <w:p>
            <w:pPr>
              <w:ind w:firstLine="460" w:firstLineChars="200"/>
              <w:jc w:val="left"/>
              <w:rPr>
                <w:rFonts w:ascii="宋体" w:hAnsi="宋体" w:cs="宋体"/>
                <w:bCs/>
                <w:color w:val="000000"/>
                <w:spacing w:val="10"/>
                <w:sz w:val="21"/>
                <w:szCs w:val="21"/>
              </w:rPr>
            </w:pPr>
            <w:r>
              <w:rPr>
                <w:rFonts w:hint="eastAsia" w:ascii="宋体" w:hAnsi="宋体" w:cs="宋体"/>
                <w:bCs/>
                <w:color w:val="000000"/>
                <w:spacing w:val="10"/>
                <w:sz w:val="21"/>
                <w:szCs w:val="21"/>
              </w:rPr>
              <w:t>资源提供充分并通过定期进行管理评审发现过程中存在问题并加以改进，承诺基本有效。</w:t>
            </w:r>
          </w:p>
          <w:p>
            <w:pPr>
              <w:jc w:val="left"/>
              <w:rPr>
                <w:rFonts w:ascii="宋体" w:hAnsi="宋体" w:cs="宋体"/>
                <w:bCs/>
                <w:color w:val="000000"/>
                <w:spacing w:val="10"/>
                <w:sz w:val="22"/>
                <w:szCs w:val="22"/>
              </w:rPr>
            </w:pP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rPr>
                <w:rFonts w:ascii="宋体" w:hAnsi="宋体" w:cs="宋体"/>
                <w:szCs w:val="21"/>
              </w:rPr>
            </w:pPr>
            <w:r>
              <w:rPr>
                <w:rFonts w:hint="eastAsia" w:ascii="宋体" w:hAnsi="宋体" w:cs="宋体"/>
                <w:szCs w:val="21"/>
              </w:rPr>
              <w:t>以顾客为关注焦点</w:t>
            </w:r>
          </w:p>
        </w:tc>
        <w:tc>
          <w:tcPr>
            <w:tcW w:w="1026" w:type="dxa"/>
          </w:tcPr>
          <w:p>
            <w:pPr>
              <w:rPr>
                <w:rFonts w:ascii="宋体" w:hAnsi="宋体" w:cs="宋体"/>
                <w:szCs w:val="21"/>
              </w:rPr>
            </w:pPr>
            <w:r>
              <w:rPr>
                <w:rFonts w:hint="eastAsia" w:ascii="宋体" w:hAnsi="宋体" w:cs="宋体"/>
                <w:szCs w:val="21"/>
              </w:rPr>
              <w:t>5.1.2</w:t>
            </w:r>
          </w:p>
          <w:p/>
        </w:tc>
        <w:tc>
          <w:tcPr>
            <w:tcW w:w="10429" w:type="dxa"/>
          </w:tcPr>
          <w:p>
            <w:pPr>
              <w:ind w:firstLine="460" w:firstLineChars="200"/>
              <w:jc w:val="left"/>
              <w:rPr>
                <w:rFonts w:ascii="宋体" w:hAnsi="宋体" w:cs="宋体"/>
                <w:bCs/>
                <w:color w:val="000000"/>
                <w:spacing w:val="10"/>
                <w:sz w:val="21"/>
                <w:szCs w:val="21"/>
              </w:rPr>
            </w:pPr>
            <w:r>
              <w:rPr>
                <w:rFonts w:hint="eastAsia" w:ascii="宋体" w:hAnsi="宋体" w:cs="宋体"/>
                <w:bCs/>
                <w:color w:val="000000"/>
                <w:spacing w:val="10"/>
                <w:sz w:val="21"/>
                <w:szCs w:val="21"/>
              </w:rPr>
              <w:t>公司以顾客满意、危险源为关注焦点，公司通过制度、培训、会议/文件要求确保得到全员关注：</w:t>
            </w:r>
          </w:p>
          <w:p>
            <w:pPr>
              <w:ind w:firstLine="460" w:firstLineChars="200"/>
              <w:jc w:val="left"/>
              <w:rPr>
                <w:rFonts w:ascii="宋体" w:hAnsi="宋体" w:cs="宋体"/>
                <w:bCs/>
                <w:color w:val="000000"/>
                <w:spacing w:val="10"/>
                <w:sz w:val="21"/>
                <w:szCs w:val="21"/>
              </w:rPr>
            </w:pPr>
            <w:r>
              <w:rPr>
                <w:rFonts w:hint="eastAsia" w:ascii="宋体" w:hAnsi="宋体" w:cs="宋体"/>
                <w:bCs/>
                <w:color w:val="000000"/>
                <w:spacing w:val="10"/>
                <w:sz w:val="21"/>
                <w:szCs w:val="21"/>
              </w:rPr>
              <w:t>—公司准确识别和应对可能影响产品符合性、顾客满意度、危险源的风险等；</w:t>
            </w:r>
          </w:p>
          <w:p>
            <w:pPr>
              <w:ind w:firstLine="460" w:firstLineChars="200"/>
              <w:jc w:val="left"/>
              <w:rPr>
                <w:rFonts w:ascii="宋体" w:hAnsi="宋体" w:cs="宋体"/>
                <w:bCs/>
                <w:color w:val="000000"/>
                <w:spacing w:val="10"/>
                <w:sz w:val="21"/>
                <w:szCs w:val="21"/>
              </w:rPr>
            </w:pPr>
            <w:r>
              <w:rPr>
                <w:rFonts w:hint="eastAsia" w:ascii="宋体" w:hAnsi="宋体" w:cs="宋体"/>
                <w:bCs/>
                <w:color w:val="000000"/>
                <w:spacing w:val="10"/>
                <w:sz w:val="21"/>
                <w:szCs w:val="21"/>
              </w:rPr>
              <w:t>—公司确定了顾客要求、危险源的管理要求并予以满足；</w:t>
            </w:r>
          </w:p>
          <w:p>
            <w:pPr>
              <w:ind w:firstLine="460" w:firstLineChars="200"/>
              <w:jc w:val="left"/>
              <w:rPr>
                <w:rFonts w:ascii="宋体" w:hAnsi="宋体" w:cs="宋体"/>
                <w:bCs/>
                <w:color w:val="000000"/>
                <w:spacing w:val="10"/>
                <w:sz w:val="21"/>
                <w:szCs w:val="21"/>
              </w:rPr>
            </w:pPr>
            <w:r>
              <w:rPr>
                <w:rFonts w:hint="eastAsia" w:ascii="宋体" w:hAnsi="宋体" w:cs="宋体"/>
                <w:bCs/>
                <w:color w:val="000000"/>
                <w:spacing w:val="10"/>
                <w:sz w:val="21"/>
                <w:szCs w:val="21"/>
              </w:rPr>
              <w:t>—公司明确了相关法律法规要求，保持以稳定提供满足顾客和相关法规要求产品为焦点；</w:t>
            </w:r>
          </w:p>
          <w:p>
            <w:pPr>
              <w:ind w:firstLine="460" w:firstLineChars="200"/>
              <w:jc w:val="left"/>
              <w:rPr>
                <w:rFonts w:ascii="宋体" w:hAnsi="宋体" w:cs="宋体"/>
                <w:szCs w:val="21"/>
              </w:rPr>
            </w:pPr>
            <w:r>
              <w:rPr>
                <w:rFonts w:hint="eastAsia" w:ascii="宋体" w:hAnsi="宋体" w:cs="宋体"/>
                <w:bCs/>
                <w:color w:val="000000"/>
                <w:spacing w:val="10"/>
                <w:sz w:val="21"/>
                <w:szCs w:val="21"/>
              </w:rPr>
              <w:t>—切实达到了以增强顾客满意、安全预防为目的。</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rPr>
                <w:rFonts w:ascii="宋体" w:hAnsi="宋体" w:cs="宋体"/>
                <w:szCs w:val="21"/>
              </w:rPr>
            </w:pPr>
            <w:r>
              <w:rPr>
                <w:rFonts w:hint="eastAsia" w:ascii="宋体" w:hAnsi="宋体" w:cs="宋体"/>
                <w:szCs w:val="21"/>
                <w:lang w:eastAsia="zh-CN"/>
              </w:rPr>
              <w:t>质量、职业健康安全</w:t>
            </w:r>
            <w:r>
              <w:rPr>
                <w:rFonts w:hint="eastAsia" w:ascii="宋体" w:hAnsi="宋体" w:cs="宋体"/>
                <w:szCs w:val="21"/>
              </w:rPr>
              <w:t>方针</w:t>
            </w:r>
          </w:p>
        </w:tc>
        <w:tc>
          <w:tcPr>
            <w:tcW w:w="1026" w:type="dxa"/>
          </w:tcPr>
          <w:p>
            <w:pPr>
              <w:rPr>
                <w:rFonts w:ascii="宋体" w:hAnsi="宋体" w:cs="宋体"/>
                <w:szCs w:val="21"/>
              </w:rPr>
            </w:pPr>
            <w:r>
              <w:rPr>
                <w:rFonts w:hint="eastAsia" w:ascii="宋体" w:hAnsi="宋体" w:cs="宋体"/>
                <w:szCs w:val="21"/>
              </w:rPr>
              <w:t>5.2</w:t>
            </w:r>
          </w:p>
          <w:p>
            <w:pPr>
              <w:ind w:firstLine="420" w:firstLineChars="200"/>
              <w:rPr>
                <w:rFonts w:ascii="宋体" w:hAnsi="宋体" w:cs="宋体"/>
                <w:szCs w:val="21"/>
              </w:rPr>
            </w:pPr>
          </w:p>
        </w:tc>
        <w:tc>
          <w:tcPr>
            <w:tcW w:w="10429" w:type="dxa"/>
            <w:vAlign w:val="center"/>
          </w:tcPr>
          <w:p>
            <w:pPr>
              <w:rPr>
                <w:rFonts w:hint="eastAsia" w:ascii="宋体" w:hAnsi="宋体" w:cs="宋体"/>
                <w:b/>
                <w:bCs w:val="0"/>
                <w:color w:val="000000"/>
                <w:spacing w:val="10"/>
                <w:sz w:val="22"/>
                <w:szCs w:val="22"/>
              </w:rPr>
            </w:pPr>
            <w:r>
              <w:rPr>
                <w:rFonts w:hint="eastAsia" w:ascii="宋体" w:hAnsi="宋体" w:cs="宋体"/>
                <w:bCs/>
                <w:color w:val="000000"/>
                <w:spacing w:val="10"/>
                <w:sz w:val="22"/>
                <w:szCs w:val="22"/>
              </w:rPr>
              <w:t>公司管理方针为：</w:t>
            </w:r>
            <w:r>
              <w:rPr>
                <w:rFonts w:hint="eastAsia" w:ascii="宋体" w:hAnsi="宋体" w:cs="宋体"/>
                <w:b/>
                <w:bCs w:val="0"/>
                <w:color w:val="000000"/>
                <w:spacing w:val="10"/>
                <w:sz w:val="22"/>
                <w:szCs w:val="22"/>
              </w:rPr>
              <w:t>求实创新，可靠适用，及时周到，顾客满意。</w:t>
            </w:r>
          </w:p>
          <w:p>
            <w:pPr>
              <w:ind w:firstLine="1927" w:firstLineChars="800"/>
              <w:rPr>
                <w:rFonts w:hint="eastAsia" w:ascii="宋体" w:hAnsi="宋体"/>
                <w:sz w:val="28"/>
              </w:rPr>
            </w:pPr>
            <w:r>
              <w:rPr>
                <w:rFonts w:hint="eastAsia" w:ascii="宋体" w:hAnsi="宋体" w:cs="宋体"/>
                <w:b/>
                <w:bCs w:val="0"/>
                <w:color w:val="000000"/>
                <w:spacing w:val="10"/>
                <w:sz w:val="22"/>
                <w:szCs w:val="22"/>
              </w:rPr>
              <w:t>关爱员工，以人为本，安全第一，遵守法律法规</w:t>
            </w:r>
            <w:r>
              <w:rPr>
                <w:rFonts w:hint="eastAsia" w:ascii="宋体" w:hAnsi="宋体"/>
                <w:sz w:val="28"/>
              </w:rPr>
              <w:t>。</w:t>
            </w:r>
          </w:p>
          <w:p>
            <w:pPr>
              <w:ind w:firstLine="460" w:firstLineChars="200"/>
              <w:rPr>
                <w:rFonts w:ascii="宋体" w:hAnsi="宋体" w:cs="宋体"/>
                <w:bCs/>
                <w:color w:val="000000"/>
                <w:spacing w:val="10"/>
                <w:sz w:val="21"/>
                <w:szCs w:val="21"/>
              </w:rPr>
            </w:pPr>
            <w:r>
              <w:rPr>
                <w:rFonts w:hint="eastAsia" w:ascii="宋体" w:hAnsi="宋体" w:cs="宋体"/>
                <w:bCs/>
                <w:color w:val="000000"/>
                <w:spacing w:val="10"/>
                <w:sz w:val="21"/>
                <w:szCs w:val="21"/>
              </w:rPr>
              <w:t>公司以</w:t>
            </w:r>
            <w:r>
              <w:rPr>
                <w:rFonts w:hint="eastAsia" w:ascii="宋体" w:hAnsi="宋体" w:cs="宋体"/>
                <w:bCs/>
                <w:color w:val="000000"/>
                <w:spacing w:val="10"/>
                <w:sz w:val="21"/>
                <w:szCs w:val="21"/>
                <w:lang w:eastAsia="zh-CN"/>
              </w:rPr>
              <w:t>质量、职业健康安全</w:t>
            </w:r>
            <w:r>
              <w:rPr>
                <w:rFonts w:hint="eastAsia" w:ascii="宋体" w:hAnsi="宋体" w:cs="宋体"/>
                <w:bCs/>
                <w:color w:val="000000"/>
                <w:spacing w:val="10"/>
                <w:sz w:val="21"/>
                <w:szCs w:val="21"/>
              </w:rPr>
              <w:t>标准为基础结合公司实际特制定管理方针。与公司</w:t>
            </w:r>
            <w:r>
              <w:rPr>
                <w:rFonts w:hint="eastAsia" w:ascii="宋体" w:hAnsi="宋体" w:cs="宋体"/>
                <w:bCs/>
                <w:color w:val="000000"/>
                <w:spacing w:val="10"/>
                <w:sz w:val="21"/>
                <w:szCs w:val="21"/>
                <w:lang w:eastAsia="zh-CN"/>
              </w:rPr>
              <w:t>总经理</w:t>
            </w:r>
            <w:r>
              <w:rPr>
                <w:rFonts w:hint="eastAsia" w:ascii="宋体" w:hAnsi="宋体" w:cs="宋体"/>
                <w:bCs/>
                <w:color w:val="000000"/>
                <w:spacing w:val="10"/>
                <w:sz w:val="21"/>
                <w:szCs w:val="21"/>
              </w:rPr>
              <w:t>交谈，其对方针内涵的理解较深刻。方针能为制定目标提供框架，方针基本符合标准的要求。</w:t>
            </w:r>
          </w:p>
          <w:p>
            <w:pPr>
              <w:ind w:firstLine="460" w:firstLineChars="200"/>
              <w:jc w:val="left"/>
              <w:rPr>
                <w:rFonts w:ascii="宋体" w:hAnsi="宋体" w:cs="宋体"/>
                <w:bCs/>
                <w:color w:val="000000"/>
                <w:spacing w:val="10"/>
                <w:sz w:val="21"/>
                <w:szCs w:val="21"/>
              </w:rPr>
            </w:pPr>
            <w:r>
              <w:rPr>
                <w:rFonts w:hint="eastAsia" w:ascii="宋体" w:hAnsi="宋体" w:cs="宋体"/>
                <w:bCs/>
                <w:color w:val="000000"/>
                <w:spacing w:val="10"/>
                <w:sz w:val="21"/>
                <w:szCs w:val="21"/>
              </w:rPr>
              <w:t>总经理用会议、文件等方法确保管理方针为全体员工理解并落实到工作中，通过管理评审时对方针的持续适宜性进行了评审，有评审记录。</w:t>
            </w:r>
          </w:p>
          <w:p>
            <w:pPr>
              <w:ind w:firstLine="460" w:firstLineChars="200"/>
              <w:jc w:val="left"/>
              <w:rPr>
                <w:rFonts w:ascii="宋体" w:hAnsi="宋体" w:cs="宋体"/>
                <w:szCs w:val="21"/>
              </w:rPr>
            </w:pPr>
            <w:r>
              <w:rPr>
                <w:rFonts w:hint="eastAsia" w:ascii="宋体" w:hAnsi="宋体" w:cs="宋体"/>
                <w:bCs/>
                <w:color w:val="000000"/>
                <w:spacing w:val="10"/>
                <w:sz w:val="21"/>
                <w:szCs w:val="21"/>
              </w:rPr>
              <w:t>以上管理方针通过文件、培训等形式将公司管理方针传达给所有为公司工作或代表公司的人员，相关方也可通过相关部门获取公司管理方针。</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rPr>
                <w:rFonts w:ascii="宋体" w:hAnsi="宋体" w:cs="宋体"/>
                <w:szCs w:val="21"/>
              </w:rPr>
            </w:pPr>
            <w:r>
              <w:rPr>
                <w:rFonts w:hint="eastAsia" w:ascii="宋体" w:hAnsi="宋体" w:cs="宋体"/>
                <w:szCs w:val="21"/>
              </w:rPr>
              <w:t>组织的岗位、职责和权限</w:t>
            </w:r>
          </w:p>
          <w:p>
            <w:pPr>
              <w:ind w:firstLine="420" w:firstLineChars="200"/>
              <w:jc w:val="left"/>
            </w:pPr>
          </w:p>
        </w:tc>
        <w:tc>
          <w:tcPr>
            <w:tcW w:w="1026" w:type="dxa"/>
          </w:tcPr>
          <w:p>
            <w:pPr>
              <w:rPr>
                <w:rFonts w:ascii="宋体" w:hAnsi="宋体" w:cs="宋体"/>
                <w:szCs w:val="21"/>
              </w:rPr>
            </w:pPr>
            <w:r>
              <w:rPr>
                <w:rFonts w:hint="eastAsia" w:ascii="宋体" w:hAnsi="宋体" w:cs="宋体"/>
                <w:szCs w:val="21"/>
              </w:rPr>
              <w:t xml:space="preserve">5.3 </w:t>
            </w:r>
          </w:p>
        </w:tc>
        <w:tc>
          <w:tcPr>
            <w:tcW w:w="10429" w:type="dxa"/>
            <w:vAlign w:val="center"/>
          </w:tcPr>
          <w:p>
            <w:pPr>
              <w:ind w:firstLine="460" w:firstLineChars="200"/>
              <w:rPr>
                <w:rFonts w:hint="eastAsia" w:ascii="宋体" w:hAnsi="宋体" w:cs="宋体"/>
                <w:bCs/>
                <w:color w:val="000000"/>
                <w:spacing w:val="10"/>
                <w:sz w:val="21"/>
                <w:szCs w:val="21"/>
              </w:rPr>
            </w:pPr>
            <w:r>
              <w:rPr>
                <w:rFonts w:hint="eastAsia" w:ascii="宋体" w:hAnsi="宋体" w:cs="宋体"/>
                <w:bCs/>
                <w:color w:val="000000"/>
                <w:spacing w:val="10"/>
                <w:sz w:val="21"/>
                <w:szCs w:val="21"/>
              </w:rPr>
              <w:t>公司提供组织机构图，规定了各部门、各岗位人员职责、权限和相互关系；</w:t>
            </w:r>
          </w:p>
          <w:p>
            <w:pPr>
              <w:ind w:firstLine="460" w:firstLineChars="200"/>
              <w:rPr>
                <w:rFonts w:hint="eastAsia" w:ascii="宋体" w:hAnsi="宋体" w:cs="宋体"/>
                <w:bCs/>
                <w:color w:val="000000"/>
                <w:spacing w:val="10"/>
                <w:sz w:val="21"/>
                <w:szCs w:val="21"/>
              </w:rPr>
            </w:pPr>
            <w:r>
              <w:rPr>
                <w:rFonts w:hint="eastAsia" w:ascii="宋体" w:hAnsi="宋体" w:cs="宋体"/>
                <w:bCs/>
                <w:color w:val="000000"/>
                <w:spacing w:val="10"/>
                <w:sz w:val="21"/>
                <w:szCs w:val="21"/>
              </w:rPr>
              <w:t>为建立、实施和保持公司管理体系所需的过程，公司任命</w:t>
            </w:r>
            <w:r>
              <w:rPr>
                <w:rFonts w:hint="eastAsia" w:ascii="宋体" w:hAnsi="宋体" w:cs="宋体"/>
                <w:bCs/>
                <w:color w:val="000000"/>
                <w:spacing w:val="10"/>
                <w:sz w:val="21"/>
                <w:szCs w:val="21"/>
                <w:lang w:eastAsia="zh-CN"/>
              </w:rPr>
              <w:t>赵绪荣</w:t>
            </w:r>
            <w:r>
              <w:rPr>
                <w:rFonts w:hint="eastAsia" w:ascii="宋体" w:hAnsi="宋体" w:cs="宋体"/>
                <w:bCs/>
                <w:color w:val="000000"/>
                <w:spacing w:val="10"/>
                <w:sz w:val="21"/>
                <w:szCs w:val="21"/>
              </w:rPr>
              <w:t>为管理体系的管理者代表，推选</w:t>
            </w:r>
            <w:r>
              <w:rPr>
                <w:rFonts w:hint="eastAsia" w:ascii="宋体" w:hAnsi="宋体" w:cs="宋体"/>
                <w:bCs/>
                <w:color w:val="000000"/>
                <w:spacing w:val="10"/>
                <w:sz w:val="21"/>
                <w:szCs w:val="21"/>
                <w:lang w:eastAsia="zh-CN"/>
              </w:rPr>
              <w:t>丁辉</w:t>
            </w:r>
            <w:r>
              <w:rPr>
                <w:rFonts w:hint="eastAsia" w:ascii="宋体" w:hAnsi="宋体" w:cs="宋体"/>
                <w:bCs/>
                <w:color w:val="000000"/>
                <w:spacing w:val="10"/>
                <w:sz w:val="21"/>
                <w:szCs w:val="21"/>
              </w:rPr>
              <w:t>为安全事务代表。</w:t>
            </w:r>
          </w:p>
          <w:p>
            <w:pPr>
              <w:ind w:firstLine="460" w:firstLineChars="200"/>
              <w:rPr>
                <w:rFonts w:hint="eastAsia" w:ascii="宋体" w:hAnsi="宋体" w:cs="宋体"/>
                <w:bCs/>
                <w:color w:val="000000"/>
                <w:spacing w:val="10"/>
                <w:sz w:val="21"/>
                <w:szCs w:val="21"/>
              </w:rPr>
            </w:pPr>
            <w:r>
              <w:rPr>
                <w:rFonts w:hint="eastAsia" w:ascii="宋体" w:hAnsi="宋体" w:cs="宋体"/>
                <w:bCs/>
                <w:color w:val="000000"/>
                <w:spacing w:val="10"/>
                <w:sz w:val="21"/>
                <w:szCs w:val="21"/>
              </w:rPr>
              <w:t>与管代交流明确其职责和权限：</w:t>
            </w:r>
          </w:p>
          <w:p>
            <w:pPr>
              <w:numPr>
                <w:ilvl w:val="0"/>
                <w:numId w:val="2"/>
              </w:numPr>
              <w:tabs>
                <w:tab w:val="left" w:pos="630"/>
                <w:tab w:val="clear" w:pos="1904"/>
              </w:tabs>
              <w:spacing w:line="400" w:lineRule="exact"/>
              <w:ind w:left="0" w:firstLine="426"/>
              <w:rPr>
                <w:rFonts w:hint="eastAsia" w:ascii="Times New Roman" w:hAnsi="Times New Roman"/>
                <w:szCs w:val="21"/>
              </w:rPr>
            </w:pPr>
            <w:r>
              <w:rPr>
                <w:rFonts w:ascii="Times New Roman" w:hAnsi="Times New Roman"/>
                <w:szCs w:val="21"/>
              </w:rPr>
              <w:t>建立、实施、保持、不断完善和持续改进公司建立的</w:t>
            </w:r>
            <w:r>
              <w:rPr>
                <w:rFonts w:hint="eastAsia"/>
                <w:szCs w:val="21"/>
                <w:lang w:eastAsia="zh-CN"/>
              </w:rPr>
              <w:t>质量、职业健康安全管理体系</w:t>
            </w:r>
            <w:r>
              <w:rPr>
                <w:rFonts w:ascii="Times New Roman" w:hAnsi="Times New Roman"/>
                <w:szCs w:val="21"/>
              </w:rPr>
              <w:t>；并负责程序文件的审批。</w:t>
            </w:r>
          </w:p>
          <w:p>
            <w:pPr>
              <w:numPr>
                <w:ilvl w:val="0"/>
                <w:numId w:val="2"/>
              </w:numPr>
              <w:tabs>
                <w:tab w:val="left" w:pos="630"/>
                <w:tab w:val="clear" w:pos="1904"/>
              </w:tabs>
              <w:spacing w:line="400" w:lineRule="exact"/>
              <w:ind w:left="0" w:firstLine="426"/>
              <w:rPr>
                <w:rFonts w:hint="eastAsia" w:ascii="Times New Roman" w:hAnsi="Times New Roman"/>
                <w:szCs w:val="21"/>
              </w:rPr>
            </w:pPr>
            <w:r>
              <w:rPr>
                <w:rFonts w:ascii="Times New Roman" w:hAnsi="Times New Roman"/>
                <w:spacing w:val="-8"/>
                <w:szCs w:val="21"/>
              </w:rPr>
              <w:t>分配各职能部门的</w:t>
            </w:r>
            <w:r>
              <w:rPr>
                <w:rFonts w:hint="eastAsia"/>
                <w:spacing w:val="-8"/>
                <w:szCs w:val="21"/>
                <w:lang w:eastAsia="zh-CN"/>
              </w:rPr>
              <w:t>质量和职业健康安全</w:t>
            </w:r>
            <w:r>
              <w:rPr>
                <w:rFonts w:ascii="Times New Roman" w:hAnsi="Times New Roman"/>
                <w:spacing w:val="-8"/>
                <w:szCs w:val="21"/>
              </w:rPr>
              <w:t>管理职能。</w:t>
            </w:r>
          </w:p>
          <w:p>
            <w:pPr>
              <w:numPr>
                <w:ilvl w:val="0"/>
                <w:numId w:val="2"/>
              </w:numPr>
              <w:tabs>
                <w:tab w:val="left" w:pos="630"/>
                <w:tab w:val="clear" w:pos="1904"/>
              </w:tabs>
              <w:spacing w:line="400" w:lineRule="exact"/>
              <w:ind w:left="0" w:firstLine="426"/>
              <w:rPr>
                <w:rFonts w:hint="eastAsia" w:ascii="Times New Roman" w:hAnsi="Times New Roman"/>
                <w:szCs w:val="21"/>
              </w:rPr>
            </w:pPr>
            <w:r>
              <w:rPr>
                <w:rFonts w:ascii="Times New Roman" w:hAnsi="Times New Roman"/>
                <w:spacing w:val="-8"/>
                <w:szCs w:val="21"/>
              </w:rPr>
              <w:t>全面负责公司质量和职业健康安全管理工作，定期对质量和职业健康安全管理目标进行考核，确保质量和职业健康安全目标的实现。</w:t>
            </w:r>
          </w:p>
          <w:p>
            <w:pPr>
              <w:numPr>
                <w:ilvl w:val="0"/>
                <w:numId w:val="2"/>
              </w:numPr>
              <w:tabs>
                <w:tab w:val="left" w:pos="630"/>
                <w:tab w:val="clear" w:pos="1904"/>
              </w:tabs>
              <w:spacing w:line="400" w:lineRule="exact"/>
              <w:ind w:left="0" w:firstLine="426"/>
              <w:rPr>
                <w:rFonts w:hint="eastAsia" w:ascii="Times New Roman" w:hAnsi="Times New Roman"/>
                <w:szCs w:val="21"/>
              </w:rPr>
            </w:pPr>
            <w:r>
              <w:rPr>
                <w:rFonts w:ascii="Times New Roman" w:hAnsi="Times New Roman"/>
                <w:szCs w:val="21"/>
              </w:rPr>
              <w:t>向最高管理者报告公司</w:t>
            </w:r>
            <w:r>
              <w:rPr>
                <w:rFonts w:hint="eastAsia"/>
                <w:szCs w:val="21"/>
                <w:lang w:eastAsia="zh-CN"/>
              </w:rPr>
              <w:t>质量、职业健康安全管理体系</w:t>
            </w:r>
            <w:r>
              <w:rPr>
                <w:rFonts w:ascii="Times New Roman" w:hAnsi="Times New Roman"/>
                <w:szCs w:val="21"/>
              </w:rPr>
              <w:t>业绩，包括业绩改进的需求，以便评审和作为公司</w:t>
            </w:r>
            <w:r>
              <w:rPr>
                <w:rFonts w:hint="eastAsia"/>
                <w:szCs w:val="21"/>
                <w:lang w:eastAsia="zh-CN"/>
              </w:rPr>
              <w:t>质量、职业健康安全管理体系</w:t>
            </w:r>
            <w:r>
              <w:rPr>
                <w:rFonts w:ascii="Times New Roman" w:hAnsi="Times New Roman"/>
                <w:szCs w:val="21"/>
              </w:rPr>
              <w:t>改进的基础</w:t>
            </w:r>
            <w:r>
              <w:rPr>
                <w:rFonts w:ascii="Times New Roman" w:hAnsi="Times New Roman"/>
                <w:spacing w:val="-8"/>
                <w:szCs w:val="21"/>
              </w:rPr>
              <w:t>。</w:t>
            </w:r>
          </w:p>
          <w:p>
            <w:pPr>
              <w:numPr>
                <w:ilvl w:val="0"/>
                <w:numId w:val="2"/>
              </w:numPr>
              <w:tabs>
                <w:tab w:val="left" w:pos="630"/>
                <w:tab w:val="clear" w:pos="1904"/>
              </w:tabs>
              <w:spacing w:line="400" w:lineRule="exact"/>
              <w:ind w:left="0" w:firstLine="426"/>
              <w:rPr>
                <w:rFonts w:hint="eastAsia" w:ascii="Times New Roman" w:hAnsi="Times New Roman"/>
                <w:szCs w:val="21"/>
              </w:rPr>
            </w:pPr>
            <w:r>
              <w:rPr>
                <w:rFonts w:ascii="Times New Roman" w:hAnsi="Times New Roman"/>
                <w:szCs w:val="21"/>
              </w:rPr>
              <w:t>负责纠正和预防措施的实施及有效性的验证工作。</w:t>
            </w:r>
          </w:p>
          <w:p>
            <w:pPr>
              <w:numPr>
                <w:ilvl w:val="0"/>
                <w:numId w:val="2"/>
              </w:numPr>
              <w:tabs>
                <w:tab w:val="left" w:pos="630"/>
                <w:tab w:val="clear" w:pos="1904"/>
              </w:tabs>
              <w:spacing w:line="400" w:lineRule="exact"/>
              <w:ind w:left="0" w:firstLine="426"/>
              <w:rPr>
                <w:rFonts w:hint="eastAsia" w:ascii="Times New Roman" w:hAnsi="Times New Roman"/>
                <w:szCs w:val="21"/>
              </w:rPr>
            </w:pPr>
            <w:r>
              <w:rPr>
                <w:rFonts w:ascii="Times New Roman" w:hAnsi="Times New Roman"/>
                <w:szCs w:val="21"/>
              </w:rPr>
              <w:t>负责组织实施内部管理体系审核，并对纠正和预防措施的实施和监督负责。</w:t>
            </w:r>
          </w:p>
          <w:p>
            <w:pPr>
              <w:numPr>
                <w:ilvl w:val="0"/>
                <w:numId w:val="2"/>
              </w:numPr>
              <w:tabs>
                <w:tab w:val="left" w:pos="630"/>
                <w:tab w:val="clear" w:pos="1904"/>
              </w:tabs>
              <w:spacing w:line="400" w:lineRule="exact"/>
              <w:ind w:left="0" w:firstLine="426"/>
              <w:rPr>
                <w:rFonts w:hint="eastAsia" w:ascii="Times New Roman" w:hAnsi="Times New Roman"/>
                <w:szCs w:val="21"/>
              </w:rPr>
            </w:pPr>
            <w:r>
              <w:rPr>
                <w:rFonts w:ascii="Times New Roman" w:hAnsi="Times New Roman"/>
                <w:spacing w:val="-8"/>
                <w:szCs w:val="21"/>
              </w:rPr>
              <w:t>负责本公司质量和职业健康安全体系有关事宜与外部各方的联络工作。</w:t>
            </w:r>
          </w:p>
          <w:p>
            <w:pPr>
              <w:numPr>
                <w:ilvl w:val="0"/>
                <w:numId w:val="2"/>
              </w:numPr>
              <w:tabs>
                <w:tab w:val="left" w:pos="630"/>
                <w:tab w:val="clear" w:pos="1904"/>
              </w:tabs>
              <w:spacing w:line="400" w:lineRule="exact"/>
              <w:ind w:left="0" w:firstLine="426"/>
              <w:jc w:val="left"/>
              <w:rPr>
                <w:rFonts w:ascii="宋体" w:hAnsi="宋体" w:cs="宋体"/>
                <w:szCs w:val="21"/>
              </w:rPr>
            </w:pPr>
            <w:r>
              <w:rPr>
                <w:rFonts w:ascii="Times New Roman" w:hAnsi="Times New Roman"/>
                <w:szCs w:val="21"/>
              </w:rPr>
              <w:t>负责监督各生产车间的现场管理的实施情况，创造安全的生产环境，做到安全生产，文明生产。</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rPr>
                <w:rFonts w:ascii="宋体" w:hAnsi="宋体" w:cs="宋体"/>
                <w:szCs w:val="21"/>
              </w:rPr>
            </w:pPr>
            <w:r>
              <w:rPr>
                <w:rFonts w:hint="eastAsia" w:ascii="宋体" w:hAnsi="宋体" w:cs="宋体"/>
                <w:szCs w:val="21"/>
              </w:rPr>
              <w:t>协商与参与</w:t>
            </w:r>
          </w:p>
          <w:p>
            <w:pPr>
              <w:ind w:firstLine="420" w:firstLineChars="200"/>
              <w:jc w:val="left"/>
            </w:pPr>
          </w:p>
        </w:tc>
        <w:tc>
          <w:tcPr>
            <w:tcW w:w="1026" w:type="dxa"/>
          </w:tcPr>
          <w:p>
            <w:pPr>
              <w:jc w:val="left"/>
              <w:rPr>
                <w:rFonts w:ascii="宋体" w:hAnsi="宋体" w:cs="宋体"/>
                <w:szCs w:val="21"/>
              </w:rPr>
            </w:pPr>
            <w:r>
              <w:rPr>
                <w:rFonts w:hint="eastAsia" w:ascii="宋体" w:hAnsi="宋体" w:cs="宋体"/>
                <w:szCs w:val="21"/>
              </w:rPr>
              <w:t xml:space="preserve">O 5.4 </w:t>
            </w:r>
          </w:p>
          <w:p>
            <w:pPr>
              <w:ind w:firstLine="420" w:firstLineChars="200"/>
              <w:jc w:val="left"/>
            </w:pPr>
          </w:p>
        </w:tc>
        <w:tc>
          <w:tcPr>
            <w:tcW w:w="10429" w:type="dxa"/>
          </w:tcPr>
          <w:p>
            <w:pPr>
              <w:pStyle w:val="17"/>
              <w:spacing w:line="440" w:lineRule="exact"/>
              <w:ind w:left="426"/>
              <w:rPr>
                <w:rFonts w:hint="eastAsia"/>
                <w:color w:val="auto"/>
                <w:sz w:val="21"/>
                <w:szCs w:val="21"/>
              </w:rPr>
            </w:pPr>
            <w:r>
              <w:rPr>
                <w:rFonts w:hint="eastAsia"/>
                <w:color w:val="auto"/>
                <w:sz w:val="21"/>
                <w:szCs w:val="21"/>
              </w:rPr>
              <w:t>公司设立了安全事务代表，提供时间、培训、人力财力物力等资源，及时提供渠道，以获取清晰的、可理解</w:t>
            </w:r>
          </w:p>
          <w:p>
            <w:pPr>
              <w:pStyle w:val="17"/>
              <w:spacing w:line="440" w:lineRule="exact"/>
              <w:rPr>
                <w:rFonts w:hint="eastAsia"/>
                <w:color w:val="auto"/>
                <w:sz w:val="21"/>
                <w:szCs w:val="21"/>
              </w:rPr>
            </w:pPr>
            <w:r>
              <w:rPr>
                <w:rFonts w:hint="eastAsia"/>
                <w:color w:val="auto"/>
                <w:sz w:val="21"/>
                <w:szCs w:val="21"/>
              </w:rPr>
              <w:t>的和相关的职业健康安全信息。考虑了确定和消除妨碍参与的障碍或壁垒，并尽可能减少。明确了与非管理类工作人员的协商和参与内容。</w:t>
            </w:r>
          </w:p>
          <w:p>
            <w:pPr>
              <w:pStyle w:val="17"/>
              <w:spacing w:line="440" w:lineRule="exact"/>
              <w:ind w:left="426"/>
              <w:rPr>
                <w:rFonts w:hint="eastAsia" w:ascii="宋体" w:hAnsi="宋体" w:cs="宋体"/>
                <w:bCs/>
                <w:color w:val="000000"/>
                <w:spacing w:val="10"/>
                <w:sz w:val="22"/>
                <w:szCs w:val="22"/>
              </w:rPr>
            </w:pPr>
            <w:r>
              <w:rPr>
                <w:rFonts w:hint="eastAsia"/>
                <w:color w:val="auto"/>
                <w:sz w:val="21"/>
                <w:szCs w:val="21"/>
              </w:rPr>
              <w:t>公司安全事务代表须经公司各部门会议选举，并正式公告</w:t>
            </w:r>
            <w:r>
              <w:rPr>
                <w:rFonts w:hint="eastAsia"/>
                <w:color w:val="auto"/>
                <w:sz w:val="21"/>
                <w:szCs w:val="21"/>
                <w:lang w:eastAsia="zh-CN"/>
              </w:rPr>
              <w:t>，</w:t>
            </w:r>
            <w:r>
              <w:rPr>
                <w:rFonts w:hint="eastAsia" w:ascii="宋体" w:hAnsi="宋体" w:cs="宋体"/>
                <w:bCs/>
                <w:color w:val="000000"/>
                <w:spacing w:val="10"/>
                <w:sz w:val="22"/>
                <w:szCs w:val="22"/>
              </w:rPr>
              <w:t>与安全事务代表交流</w:t>
            </w:r>
            <w:r>
              <w:rPr>
                <w:rFonts w:hint="eastAsia" w:ascii="宋体" w:hAnsi="宋体" w:cs="宋体"/>
                <w:bCs/>
                <w:color w:val="000000"/>
                <w:spacing w:val="10"/>
                <w:sz w:val="22"/>
                <w:szCs w:val="22"/>
                <w:lang w:val="en-US" w:eastAsia="zh-CN"/>
              </w:rPr>
              <w:t>明确</w:t>
            </w:r>
            <w:r>
              <w:rPr>
                <w:rFonts w:hint="eastAsia" w:ascii="宋体" w:hAnsi="宋体" w:cs="宋体"/>
                <w:bCs/>
                <w:color w:val="000000"/>
                <w:spacing w:val="10"/>
                <w:sz w:val="22"/>
                <w:szCs w:val="22"/>
              </w:rPr>
              <w:t>职责和权限：</w:t>
            </w:r>
          </w:p>
          <w:p>
            <w:pPr>
              <w:pStyle w:val="17"/>
              <w:spacing w:line="440" w:lineRule="exact"/>
              <w:ind w:left="426"/>
              <w:rPr>
                <w:rFonts w:hint="eastAsia"/>
                <w:color w:val="auto"/>
                <w:sz w:val="21"/>
                <w:szCs w:val="21"/>
              </w:rPr>
            </w:pPr>
            <w:r>
              <w:rPr>
                <w:rFonts w:hint="eastAsia" w:ascii="宋体" w:hAnsi="宋体" w:cs="宋体"/>
                <w:bCs/>
                <w:color w:val="000000"/>
                <w:spacing w:val="10"/>
                <w:sz w:val="22"/>
                <w:szCs w:val="22"/>
                <w:lang w:val="en-US" w:eastAsia="zh-CN"/>
              </w:rPr>
              <w:t>1</w:t>
            </w:r>
            <w:r>
              <w:rPr>
                <w:rFonts w:hint="eastAsia"/>
                <w:color w:val="auto"/>
                <w:sz w:val="21"/>
                <w:szCs w:val="21"/>
              </w:rPr>
              <w:t>)   对全体员工负责，直接向管理者代表或总经理反映职业健康运行的情况，反映员工的意见；</w:t>
            </w:r>
          </w:p>
          <w:p>
            <w:pPr>
              <w:pStyle w:val="17"/>
              <w:spacing w:line="440" w:lineRule="exact"/>
              <w:ind w:left="426"/>
              <w:rPr>
                <w:rFonts w:hint="eastAsia"/>
                <w:color w:val="auto"/>
                <w:sz w:val="21"/>
                <w:szCs w:val="21"/>
              </w:rPr>
            </w:pPr>
            <w:r>
              <w:rPr>
                <w:rFonts w:hint="eastAsia"/>
                <w:color w:val="auto"/>
                <w:sz w:val="21"/>
                <w:szCs w:val="21"/>
                <w:lang w:val="en-US" w:eastAsia="zh-CN"/>
              </w:rPr>
              <w:t>2</w:t>
            </w:r>
            <w:r>
              <w:rPr>
                <w:rFonts w:hint="eastAsia"/>
                <w:color w:val="auto"/>
                <w:sz w:val="21"/>
                <w:szCs w:val="21"/>
              </w:rPr>
              <w:t>)   适当参与危险源辩识、风险评价和控制措施的确定；适当参与事件调查；</w:t>
            </w:r>
          </w:p>
          <w:p>
            <w:pPr>
              <w:pStyle w:val="17"/>
              <w:spacing w:line="440" w:lineRule="exact"/>
              <w:ind w:left="426"/>
              <w:rPr>
                <w:rFonts w:hint="eastAsia"/>
                <w:color w:val="auto"/>
                <w:sz w:val="21"/>
                <w:szCs w:val="21"/>
              </w:rPr>
            </w:pPr>
            <w:r>
              <w:rPr>
                <w:rFonts w:hint="eastAsia"/>
                <w:color w:val="auto"/>
                <w:sz w:val="21"/>
                <w:szCs w:val="21"/>
                <w:lang w:val="en-US" w:eastAsia="zh-CN"/>
              </w:rPr>
              <w:t>3</w:t>
            </w:r>
            <w:r>
              <w:rPr>
                <w:rFonts w:hint="eastAsia"/>
                <w:color w:val="auto"/>
                <w:sz w:val="21"/>
                <w:szCs w:val="21"/>
              </w:rPr>
              <w:t>)   参与职业健康安全方针和目标的制定和评审；</w:t>
            </w:r>
          </w:p>
          <w:p>
            <w:pPr>
              <w:pStyle w:val="17"/>
              <w:spacing w:line="440" w:lineRule="exact"/>
              <w:ind w:left="426"/>
              <w:rPr>
                <w:rFonts w:hint="eastAsia"/>
                <w:color w:val="auto"/>
                <w:sz w:val="21"/>
                <w:szCs w:val="21"/>
              </w:rPr>
            </w:pPr>
            <w:r>
              <w:rPr>
                <w:rFonts w:hint="eastAsia"/>
                <w:color w:val="auto"/>
                <w:sz w:val="21"/>
                <w:szCs w:val="21"/>
                <w:lang w:val="en-US" w:eastAsia="zh-CN"/>
              </w:rPr>
              <w:t>4</w:t>
            </w:r>
            <w:r>
              <w:rPr>
                <w:rFonts w:hint="eastAsia"/>
                <w:color w:val="auto"/>
                <w:sz w:val="21"/>
                <w:szCs w:val="21"/>
              </w:rPr>
              <w:t>)   对影响员工环境和职业健康安全的任何变更进行协商；对职业健康安全事务发表意见；</w:t>
            </w:r>
          </w:p>
          <w:p>
            <w:pPr>
              <w:pStyle w:val="17"/>
              <w:spacing w:line="440" w:lineRule="exact"/>
              <w:ind w:left="426"/>
            </w:pPr>
            <w:r>
              <w:rPr>
                <w:rFonts w:hint="eastAsia"/>
                <w:color w:val="auto"/>
                <w:sz w:val="21"/>
                <w:szCs w:val="21"/>
                <w:lang w:val="en-US" w:eastAsia="zh-CN"/>
              </w:rPr>
              <w:t>5</w:t>
            </w:r>
            <w:r>
              <w:rPr>
                <w:rFonts w:hint="eastAsia"/>
                <w:color w:val="auto"/>
                <w:sz w:val="21"/>
                <w:szCs w:val="21"/>
              </w:rPr>
              <w:t>)   了解员工及相关方对健康安全的满意度，及时沟通并提出有关建议</w:t>
            </w:r>
            <w:r>
              <w:rPr>
                <w:rFonts w:hint="eastAsia" w:ascii="宋体" w:hAnsi="宋体" w:cs="宋体"/>
                <w:bCs/>
                <w:color w:val="000000"/>
                <w:spacing w:val="10"/>
                <w:sz w:val="22"/>
                <w:szCs w:val="22"/>
              </w:rPr>
              <w:t>。</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rPr>
                <w:rFonts w:ascii="宋体" w:hAnsi="宋体" w:cs="宋体"/>
                <w:szCs w:val="21"/>
              </w:rPr>
            </w:pPr>
            <w:r>
              <w:rPr>
                <w:rFonts w:hint="eastAsia" w:ascii="宋体" w:hAnsi="宋体" w:cs="宋体"/>
                <w:szCs w:val="21"/>
              </w:rPr>
              <w:t>应对风险和机遇的措施</w:t>
            </w:r>
          </w:p>
          <w:p>
            <w:pPr>
              <w:jc w:val="left"/>
            </w:pPr>
          </w:p>
        </w:tc>
        <w:tc>
          <w:tcPr>
            <w:tcW w:w="1026" w:type="dxa"/>
          </w:tcPr>
          <w:p>
            <w:pPr>
              <w:jc w:val="left"/>
              <w:rPr>
                <w:rFonts w:ascii="宋体" w:hAnsi="宋体" w:cs="宋体"/>
                <w:szCs w:val="21"/>
              </w:rPr>
            </w:pPr>
            <w:r>
              <w:rPr>
                <w:rFonts w:hint="eastAsia" w:ascii="宋体" w:hAnsi="宋体" w:cs="宋体"/>
                <w:szCs w:val="21"/>
              </w:rPr>
              <w:t>6.1</w:t>
            </w:r>
          </w:p>
          <w:p>
            <w:pPr>
              <w:jc w:val="left"/>
            </w:pPr>
          </w:p>
        </w:tc>
        <w:tc>
          <w:tcPr>
            <w:tcW w:w="10429" w:type="dxa"/>
            <w:vAlign w:val="center"/>
          </w:tcPr>
          <w:p>
            <w:pPr>
              <w:pStyle w:val="17"/>
              <w:spacing w:line="440" w:lineRule="exact"/>
              <w:ind w:left="426"/>
              <w:rPr>
                <w:rFonts w:hint="eastAsia"/>
                <w:color w:val="auto"/>
                <w:sz w:val="21"/>
                <w:szCs w:val="21"/>
              </w:rPr>
            </w:pPr>
            <w:r>
              <w:rPr>
                <w:rFonts w:hint="eastAsia"/>
                <w:color w:val="auto"/>
                <w:sz w:val="21"/>
                <w:szCs w:val="21"/>
              </w:rPr>
              <w:t>公司制定并实施《风险和机遇控制程序》，明确风险和机遇事件的识别方法/途径、风险和机遇事件的评估</w:t>
            </w:r>
          </w:p>
          <w:p>
            <w:pPr>
              <w:pStyle w:val="17"/>
              <w:spacing w:line="440" w:lineRule="exact"/>
              <w:rPr>
                <w:rFonts w:hint="eastAsia"/>
                <w:color w:val="auto"/>
                <w:sz w:val="21"/>
                <w:szCs w:val="21"/>
                <w:lang w:eastAsia="zh-CN"/>
              </w:rPr>
            </w:pPr>
            <w:r>
              <w:rPr>
                <w:rFonts w:hint="eastAsia"/>
                <w:color w:val="auto"/>
                <w:sz w:val="21"/>
                <w:szCs w:val="21"/>
              </w:rPr>
              <w:t>方式、制定主要风险和机遇事件的应对措施的要求、评价这些措施有效性的方法</w:t>
            </w:r>
            <w:r>
              <w:rPr>
                <w:rFonts w:hint="eastAsia"/>
                <w:color w:val="auto"/>
                <w:sz w:val="21"/>
                <w:szCs w:val="21"/>
                <w:lang w:eastAsia="zh-CN"/>
              </w:rPr>
              <w:t>，</w:t>
            </w:r>
            <w:r>
              <w:rPr>
                <w:rFonts w:hint="eastAsia"/>
                <w:color w:val="auto"/>
                <w:sz w:val="21"/>
                <w:szCs w:val="21"/>
                <w:lang w:val="en-US" w:eastAsia="zh-CN"/>
              </w:rPr>
              <w:t>并形成</w:t>
            </w:r>
            <w:r>
              <w:rPr>
                <w:rFonts w:hint="eastAsia"/>
                <w:color w:val="auto"/>
                <w:sz w:val="21"/>
                <w:szCs w:val="21"/>
              </w:rPr>
              <w:t>风险和机遇评估分析表</w:t>
            </w:r>
            <w:r>
              <w:rPr>
                <w:rFonts w:hint="eastAsia"/>
                <w:color w:val="auto"/>
                <w:sz w:val="21"/>
                <w:szCs w:val="21"/>
                <w:lang w:eastAsia="zh-CN"/>
              </w:rPr>
              <w:t>。</w:t>
            </w:r>
          </w:p>
          <w:p>
            <w:pPr>
              <w:pStyle w:val="17"/>
              <w:spacing w:line="440" w:lineRule="exact"/>
              <w:ind w:left="426"/>
              <w:rPr>
                <w:color w:val="auto"/>
                <w:sz w:val="21"/>
                <w:szCs w:val="21"/>
              </w:rPr>
            </w:pPr>
            <w:r>
              <w:rPr>
                <w:color w:val="auto"/>
                <w:sz w:val="21"/>
                <w:szCs w:val="21"/>
              </w:rPr>
              <w:t>各部门确保将这些措施融入公司的日常业务过程中，并保留实施的证据</w:t>
            </w:r>
            <w:r>
              <w:rPr>
                <w:rFonts w:hint="eastAsia"/>
                <w:color w:val="auto"/>
                <w:sz w:val="21"/>
                <w:szCs w:val="21"/>
                <w:lang w:eastAsia="zh-CN"/>
              </w:rPr>
              <w:t>，</w:t>
            </w:r>
            <w:r>
              <w:rPr>
                <w:color w:val="auto"/>
                <w:sz w:val="21"/>
                <w:szCs w:val="21"/>
              </w:rPr>
              <w:t>确保质量和职业健康安全管理体系</w:t>
            </w:r>
          </w:p>
          <w:p>
            <w:pPr>
              <w:pStyle w:val="17"/>
              <w:spacing w:line="440" w:lineRule="exact"/>
              <w:rPr>
                <w:color w:val="auto"/>
                <w:sz w:val="21"/>
                <w:szCs w:val="21"/>
              </w:rPr>
            </w:pPr>
            <w:r>
              <w:rPr>
                <w:color w:val="auto"/>
                <w:sz w:val="21"/>
                <w:szCs w:val="21"/>
              </w:rPr>
              <w:t>范围和能够实现其预期结果； 增强有利影响，</w:t>
            </w:r>
            <w:r>
              <w:rPr>
                <w:sz w:val="21"/>
                <w:szCs w:val="21"/>
              </w:rPr>
              <w:t>预防或减少不期望的结果，包括影响组织的潜在的外部环境状况；</w:t>
            </w:r>
            <w:r>
              <w:rPr>
                <w:color w:val="auto"/>
                <w:sz w:val="21"/>
                <w:szCs w:val="21"/>
              </w:rPr>
              <w:t xml:space="preserve">职业健康的合规性义务；实现改进。 </w:t>
            </w:r>
          </w:p>
          <w:p>
            <w:pPr>
              <w:ind w:firstLine="210" w:firstLineChars="100"/>
              <w:jc w:val="left"/>
            </w:pPr>
            <w:r>
              <w:rPr>
                <w:rFonts w:hint="eastAsia"/>
              </w:rPr>
              <w:t xml:space="preserve">  </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pPr>
            <w:r>
              <w:rPr>
                <w:rFonts w:hint="eastAsia" w:ascii="宋体" w:hAnsi="宋体" w:cs="宋体"/>
                <w:szCs w:val="21"/>
                <w:lang w:eastAsia="zh-CN"/>
              </w:rPr>
              <w:t>质量、职业健康安全</w:t>
            </w:r>
            <w:r>
              <w:rPr>
                <w:rFonts w:hint="eastAsia" w:ascii="宋体" w:hAnsi="宋体" w:cs="宋体"/>
                <w:szCs w:val="21"/>
              </w:rPr>
              <w:t>目标及其实现的策划</w:t>
            </w:r>
          </w:p>
        </w:tc>
        <w:tc>
          <w:tcPr>
            <w:tcW w:w="1026" w:type="dxa"/>
          </w:tcPr>
          <w:p>
            <w:pPr>
              <w:jc w:val="left"/>
            </w:pPr>
            <w:r>
              <w:rPr>
                <w:rFonts w:hint="eastAsia" w:ascii="宋体" w:hAnsi="宋体" w:cs="宋体"/>
                <w:szCs w:val="21"/>
              </w:rPr>
              <w:t>6.2</w:t>
            </w:r>
          </w:p>
        </w:tc>
        <w:tc>
          <w:tcPr>
            <w:tcW w:w="10429" w:type="dxa"/>
            <w:vAlign w:val="center"/>
          </w:tcPr>
          <w:p>
            <w:pPr>
              <w:ind w:firstLine="480" w:firstLineChars="200"/>
              <w:jc w:val="left"/>
              <w:rPr>
                <w:rFonts w:ascii="宋体" w:hAnsi="宋体" w:cs="宋体"/>
                <w:bCs/>
                <w:color w:val="000000"/>
                <w:spacing w:val="10"/>
                <w:sz w:val="22"/>
                <w:szCs w:val="22"/>
              </w:rPr>
            </w:pPr>
            <w:r>
              <w:rPr>
                <w:rFonts w:hint="eastAsia" w:ascii="宋体" w:hAnsi="宋体" w:cs="宋体"/>
                <w:bCs/>
                <w:color w:val="000000"/>
                <w:spacing w:val="10"/>
                <w:sz w:val="22"/>
                <w:szCs w:val="22"/>
              </w:rPr>
              <w:t>提供公司</w:t>
            </w:r>
            <w:r>
              <w:rPr>
                <w:rFonts w:hint="eastAsia" w:ascii="宋体" w:hAnsi="宋体" w:cs="宋体"/>
                <w:bCs/>
                <w:color w:val="000000"/>
                <w:spacing w:val="10"/>
                <w:sz w:val="22"/>
                <w:szCs w:val="22"/>
                <w:lang w:eastAsia="zh-CN"/>
              </w:rPr>
              <w:t>质量和职业健康安全</w:t>
            </w:r>
            <w:r>
              <w:rPr>
                <w:rFonts w:hint="eastAsia" w:ascii="宋体" w:hAnsi="宋体" w:cs="宋体"/>
                <w:bCs/>
                <w:color w:val="000000"/>
                <w:spacing w:val="10"/>
                <w:sz w:val="22"/>
                <w:szCs w:val="22"/>
              </w:rPr>
              <w:t>目标、质量分解目标，职业健康安全目标、指标和管理方案。</w:t>
            </w:r>
          </w:p>
          <w:p>
            <w:pPr>
              <w:pStyle w:val="9"/>
              <w:spacing w:before="0" w:after="0" w:line="240" w:lineRule="auto"/>
              <w:ind w:firstLine="482" w:firstLineChars="200"/>
              <w:jc w:val="left"/>
              <w:rPr>
                <w:rFonts w:ascii="Times New Roman" w:hAnsi="Times New Roman"/>
                <w:sz w:val="24"/>
                <w:szCs w:val="24"/>
              </w:rPr>
            </w:pPr>
            <w:bookmarkStart w:id="3" w:name="_Toc477950707"/>
            <w:bookmarkStart w:id="4" w:name="_Toc45607695"/>
            <w:r>
              <w:rPr>
                <w:rFonts w:ascii="Times New Roman" w:hAnsi="Times New Roman"/>
                <w:sz w:val="24"/>
                <w:szCs w:val="24"/>
              </w:rPr>
              <w:t>质量目标</w:t>
            </w:r>
            <w:bookmarkEnd w:id="3"/>
            <w:bookmarkEnd w:id="4"/>
          </w:p>
          <w:p>
            <w:pPr>
              <w:spacing w:line="240" w:lineRule="auto"/>
              <w:ind w:leftChars="200"/>
              <w:rPr>
                <w:rFonts w:hint="eastAsia" w:ascii="宋体" w:hAnsi="宋体"/>
                <w:sz w:val="21"/>
                <w:szCs w:val="21"/>
              </w:rPr>
            </w:pPr>
            <w:bookmarkStart w:id="5" w:name="_Toc45607696"/>
            <w:r>
              <w:rPr>
                <w:rFonts w:hint="eastAsia" w:ascii="宋体" w:hAnsi="宋体"/>
                <w:sz w:val="21"/>
                <w:szCs w:val="21"/>
              </w:rPr>
              <w:t>1. 产品交付合格率100%；</w:t>
            </w:r>
          </w:p>
          <w:p>
            <w:pPr>
              <w:spacing w:line="240" w:lineRule="auto"/>
              <w:ind w:leftChars="200"/>
              <w:rPr>
                <w:rFonts w:hint="eastAsia" w:ascii="宋体" w:hAnsi="宋体"/>
                <w:sz w:val="21"/>
                <w:szCs w:val="21"/>
              </w:rPr>
            </w:pPr>
            <w:r>
              <w:rPr>
                <w:rFonts w:hint="eastAsia" w:ascii="宋体" w:hAnsi="宋体"/>
                <w:sz w:val="21"/>
                <w:szCs w:val="21"/>
              </w:rPr>
              <w:t>2、交货期满意率90%</w:t>
            </w:r>
          </w:p>
          <w:p>
            <w:pPr>
              <w:spacing w:line="240" w:lineRule="auto"/>
              <w:ind w:leftChars="200"/>
              <w:rPr>
                <w:rFonts w:hint="eastAsia" w:ascii="宋体" w:hAnsi="宋体"/>
                <w:sz w:val="21"/>
                <w:szCs w:val="21"/>
              </w:rPr>
            </w:pPr>
            <w:r>
              <w:rPr>
                <w:rFonts w:hint="eastAsia" w:ascii="宋体" w:hAnsi="宋体"/>
                <w:sz w:val="21"/>
                <w:szCs w:val="21"/>
              </w:rPr>
              <w:t>3、相关方满意率95%以上</w:t>
            </w:r>
          </w:p>
          <w:bookmarkEnd w:id="5"/>
          <w:p>
            <w:pPr>
              <w:pStyle w:val="9"/>
              <w:spacing w:before="0" w:after="0" w:line="240" w:lineRule="auto"/>
              <w:ind w:firstLine="643" w:firstLineChars="200"/>
              <w:jc w:val="left"/>
              <w:rPr>
                <w:rFonts w:ascii="Times New Roman" w:hAnsi="Times New Roman"/>
                <w:sz w:val="24"/>
                <w:szCs w:val="24"/>
              </w:rPr>
            </w:pPr>
            <w:bookmarkStart w:id="6" w:name="_Toc45607697"/>
            <w:r>
              <w:drawing>
                <wp:anchor distT="0" distB="0" distL="114300" distR="114300" simplePos="0" relativeHeight="251659264" behindDoc="0" locked="0" layoutInCell="1" allowOverlap="1">
                  <wp:simplePos x="0" y="0"/>
                  <wp:positionH relativeFrom="column">
                    <wp:posOffset>242570</wp:posOffset>
                  </wp:positionH>
                  <wp:positionV relativeFrom="paragraph">
                    <wp:posOffset>158115</wp:posOffset>
                  </wp:positionV>
                  <wp:extent cx="5445125" cy="1501775"/>
                  <wp:effectExtent l="0" t="0" r="3175"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445125" cy="1501775"/>
                          </a:xfrm>
                          <a:prstGeom prst="rect">
                            <a:avLst/>
                          </a:prstGeom>
                          <a:noFill/>
                          <a:ln>
                            <a:noFill/>
                          </a:ln>
                        </pic:spPr>
                      </pic:pic>
                    </a:graphicData>
                  </a:graphic>
                </wp:anchor>
              </w:drawing>
            </w:r>
          </w:p>
          <w:p>
            <w:pPr>
              <w:spacing w:line="240" w:lineRule="auto"/>
              <w:ind w:leftChars="200"/>
              <w:rPr>
                <w:rFonts w:hint="eastAsia" w:ascii="宋体" w:hAnsi="宋体"/>
                <w:color w:val="1F497D" w:themeColor="text2"/>
                <w:sz w:val="21"/>
                <w:szCs w:val="21"/>
                <w:lang w:val="en-US" w:eastAsia="zh-CN"/>
              </w:rPr>
            </w:pPr>
          </w:p>
          <w:p>
            <w:pPr>
              <w:spacing w:line="240" w:lineRule="auto"/>
              <w:ind w:leftChars="200"/>
              <w:rPr>
                <w:rFonts w:hint="eastAsia" w:ascii="宋体" w:hAnsi="宋体"/>
                <w:b/>
                <w:bCs/>
                <w:color w:val="1F497D" w:themeColor="text2"/>
                <w:sz w:val="21"/>
                <w:szCs w:val="21"/>
                <w:lang w:val="en-US" w:eastAsia="zh-CN"/>
              </w:rPr>
            </w:pPr>
          </w:p>
          <w:p>
            <w:pPr>
              <w:spacing w:line="240" w:lineRule="auto"/>
              <w:ind w:leftChars="200"/>
              <w:rPr>
                <w:rFonts w:hint="eastAsia" w:ascii="宋体" w:hAnsi="宋体"/>
                <w:b/>
                <w:bCs/>
                <w:color w:val="1F497D" w:themeColor="text2"/>
                <w:sz w:val="21"/>
                <w:szCs w:val="21"/>
                <w:lang w:val="en-US" w:eastAsia="zh-CN"/>
              </w:rPr>
            </w:pPr>
          </w:p>
          <w:p>
            <w:pPr>
              <w:spacing w:line="240" w:lineRule="auto"/>
              <w:ind w:leftChars="200"/>
              <w:rPr>
                <w:rFonts w:hint="eastAsia" w:ascii="宋体" w:hAnsi="宋体"/>
                <w:b/>
                <w:bCs/>
                <w:color w:val="1F497D" w:themeColor="text2"/>
                <w:sz w:val="21"/>
                <w:szCs w:val="21"/>
                <w:lang w:val="en-US" w:eastAsia="zh-CN"/>
              </w:rPr>
            </w:pPr>
          </w:p>
          <w:p>
            <w:pPr>
              <w:spacing w:line="240" w:lineRule="auto"/>
              <w:ind w:leftChars="200"/>
              <w:rPr>
                <w:rFonts w:hint="eastAsia" w:ascii="宋体" w:hAnsi="宋体"/>
                <w:b/>
                <w:bCs/>
                <w:color w:val="1F497D" w:themeColor="text2"/>
                <w:sz w:val="21"/>
                <w:szCs w:val="21"/>
                <w:lang w:val="en-US" w:eastAsia="zh-CN"/>
              </w:rPr>
            </w:pPr>
          </w:p>
          <w:p>
            <w:pPr>
              <w:spacing w:line="240" w:lineRule="auto"/>
              <w:ind w:leftChars="200"/>
              <w:rPr>
                <w:rFonts w:hint="eastAsia" w:ascii="宋体" w:hAnsi="宋体"/>
                <w:b/>
                <w:bCs/>
                <w:color w:val="1F497D" w:themeColor="text2"/>
                <w:sz w:val="21"/>
                <w:szCs w:val="21"/>
                <w:lang w:val="en-US" w:eastAsia="zh-CN"/>
              </w:rPr>
            </w:pPr>
          </w:p>
          <w:p>
            <w:pPr>
              <w:spacing w:line="240" w:lineRule="auto"/>
              <w:ind w:leftChars="200"/>
              <w:rPr>
                <w:rFonts w:hint="eastAsia" w:ascii="宋体" w:hAnsi="宋体"/>
                <w:b/>
                <w:bCs/>
                <w:color w:val="1F497D" w:themeColor="text2"/>
                <w:sz w:val="21"/>
                <w:szCs w:val="21"/>
                <w:lang w:val="en-US" w:eastAsia="zh-CN"/>
              </w:rPr>
            </w:pPr>
          </w:p>
          <w:p>
            <w:pPr>
              <w:spacing w:line="240" w:lineRule="auto"/>
              <w:ind w:leftChars="200"/>
              <w:rPr>
                <w:rFonts w:hint="eastAsia" w:ascii="宋体" w:hAnsi="宋体"/>
                <w:b/>
                <w:bCs/>
                <w:color w:val="1F497D" w:themeColor="text2"/>
                <w:sz w:val="21"/>
                <w:szCs w:val="21"/>
                <w:lang w:val="en-US" w:eastAsia="zh-CN"/>
              </w:rPr>
            </w:pPr>
          </w:p>
          <w:p>
            <w:pPr>
              <w:spacing w:line="240" w:lineRule="auto"/>
              <w:ind w:leftChars="200"/>
              <w:rPr>
                <w:rFonts w:hint="eastAsia" w:ascii="宋体" w:hAnsi="宋体"/>
                <w:b/>
                <w:bCs/>
                <w:color w:val="1F497D" w:themeColor="text2"/>
                <w:sz w:val="21"/>
                <w:szCs w:val="21"/>
                <w:lang w:val="en-US" w:eastAsia="zh-CN"/>
              </w:rPr>
            </w:pPr>
            <w:r>
              <w:rPr>
                <w:rFonts w:hint="eastAsia" w:ascii="宋体" w:hAnsi="宋体"/>
                <w:b/>
                <w:bCs/>
                <w:color w:val="1F497D" w:themeColor="text2"/>
                <w:sz w:val="21"/>
                <w:szCs w:val="21"/>
                <w:lang w:val="en-US" w:eastAsia="zh-CN"/>
              </w:rPr>
              <w:t>22年一季度、二季度完成情况：</w:t>
            </w:r>
          </w:p>
          <w:p>
            <w:pPr>
              <w:pStyle w:val="2"/>
              <w:rPr>
                <w:rFonts w:hint="eastAsia" w:ascii="宋体" w:hAnsi="宋体"/>
                <w:b/>
                <w:bCs/>
                <w:color w:val="1F497D" w:themeColor="text2"/>
                <w:sz w:val="21"/>
                <w:szCs w:val="21"/>
                <w:lang w:val="en-US" w:eastAsia="zh-CN"/>
              </w:rPr>
            </w:pPr>
            <w:r>
              <w:drawing>
                <wp:anchor distT="0" distB="0" distL="114300" distR="114300" simplePos="0" relativeHeight="251660288" behindDoc="0" locked="0" layoutInCell="1" allowOverlap="1">
                  <wp:simplePos x="0" y="0"/>
                  <wp:positionH relativeFrom="column">
                    <wp:posOffset>389255</wp:posOffset>
                  </wp:positionH>
                  <wp:positionV relativeFrom="paragraph">
                    <wp:posOffset>134620</wp:posOffset>
                  </wp:positionV>
                  <wp:extent cx="5308600" cy="1514475"/>
                  <wp:effectExtent l="0" t="0" r="6350" b="9525"/>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5308600" cy="1514475"/>
                          </a:xfrm>
                          <a:prstGeom prst="rect">
                            <a:avLst/>
                          </a:prstGeom>
                          <a:noFill/>
                          <a:ln>
                            <a:noFill/>
                          </a:ln>
                        </pic:spPr>
                      </pic:pic>
                    </a:graphicData>
                  </a:graphic>
                </wp:anchor>
              </w:drawing>
            </w:r>
          </w:p>
          <w:p>
            <w:pPr>
              <w:pStyle w:val="2"/>
              <w:rPr>
                <w:rFonts w:hint="eastAsia" w:ascii="宋体" w:hAnsi="宋体"/>
                <w:b/>
                <w:bCs/>
                <w:color w:val="1F497D" w:themeColor="text2"/>
                <w:sz w:val="21"/>
                <w:szCs w:val="21"/>
                <w:lang w:val="en-US" w:eastAsia="zh-CN"/>
              </w:rPr>
            </w:pPr>
          </w:p>
          <w:p>
            <w:pPr>
              <w:pStyle w:val="2"/>
              <w:rPr>
                <w:rFonts w:hint="eastAsia" w:ascii="宋体" w:hAnsi="宋体"/>
                <w:b/>
                <w:bCs/>
                <w:color w:val="1F497D" w:themeColor="text2"/>
                <w:sz w:val="21"/>
                <w:szCs w:val="21"/>
                <w:lang w:val="en-US" w:eastAsia="zh-CN"/>
              </w:rPr>
            </w:pPr>
          </w:p>
          <w:p>
            <w:pPr>
              <w:pStyle w:val="2"/>
              <w:rPr>
                <w:rFonts w:hint="eastAsia" w:ascii="宋体" w:hAnsi="宋体"/>
                <w:b/>
                <w:bCs/>
                <w:color w:val="1F497D" w:themeColor="text2"/>
                <w:sz w:val="21"/>
                <w:szCs w:val="21"/>
                <w:lang w:val="en-US" w:eastAsia="zh-CN"/>
              </w:rPr>
            </w:pPr>
          </w:p>
          <w:p>
            <w:pPr>
              <w:pStyle w:val="2"/>
              <w:rPr>
                <w:rFonts w:hint="eastAsia" w:ascii="宋体" w:hAnsi="宋体"/>
                <w:b/>
                <w:bCs/>
                <w:color w:val="1F497D" w:themeColor="text2"/>
                <w:sz w:val="21"/>
                <w:szCs w:val="21"/>
                <w:lang w:val="en-US" w:eastAsia="zh-CN"/>
              </w:rPr>
            </w:pPr>
          </w:p>
          <w:p>
            <w:pPr>
              <w:pStyle w:val="2"/>
              <w:rPr>
                <w:rFonts w:hint="eastAsia" w:ascii="宋体" w:hAnsi="宋体"/>
                <w:b/>
                <w:bCs/>
                <w:color w:val="1F497D" w:themeColor="text2"/>
                <w:sz w:val="21"/>
                <w:szCs w:val="21"/>
                <w:lang w:val="en-US" w:eastAsia="zh-CN"/>
              </w:rPr>
            </w:pPr>
          </w:p>
          <w:p>
            <w:pPr>
              <w:pStyle w:val="2"/>
              <w:rPr>
                <w:rFonts w:hint="eastAsia" w:ascii="宋体" w:hAnsi="宋体"/>
                <w:b/>
                <w:bCs/>
                <w:color w:val="1F497D" w:themeColor="text2"/>
                <w:sz w:val="21"/>
                <w:szCs w:val="21"/>
                <w:lang w:val="en-US" w:eastAsia="zh-CN"/>
              </w:rPr>
            </w:pPr>
          </w:p>
          <w:p>
            <w:pPr>
              <w:pStyle w:val="2"/>
              <w:rPr>
                <w:rFonts w:hint="default" w:ascii="宋体" w:hAnsi="宋体"/>
                <w:b/>
                <w:bCs/>
                <w:color w:val="1F497D" w:themeColor="text2"/>
                <w:sz w:val="21"/>
                <w:szCs w:val="21"/>
                <w:lang w:val="en-US" w:eastAsia="zh-CN"/>
              </w:rPr>
            </w:pPr>
          </w:p>
          <w:p>
            <w:pPr>
              <w:pStyle w:val="9"/>
              <w:spacing w:before="0" w:after="0" w:line="240" w:lineRule="auto"/>
              <w:ind w:firstLine="482" w:firstLineChars="200"/>
              <w:jc w:val="left"/>
              <w:rPr>
                <w:rFonts w:ascii="Times New Roman" w:hAnsi="Times New Roman"/>
                <w:sz w:val="24"/>
                <w:szCs w:val="24"/>
              </w:rPr>
            </w:pPr>
          </w:p>
          <w:p>
            <w:pPr>
              <w:pStyle w:val="9"/>
              <w:spacing w:before="0" w:after="0" w:line="240" w:lineRule="auto"/>
              <w:ind w:firstLine="482" w:firstLineChars="200"/>
              <w:jc w:val="left"/>
              <w:rPr>
                <w:rFonts w:ascii="Times New Roman" w:hAnsi="Times New Roman"/>
                <w:sz w:val="24"/>
                <w:szCs w:val="24"/>
              </w:rPr>
            </w:pPr>
            <w:r>
              <w:rPr>
                <w:rFonts w:ascii="Times New Roman" w:hAnsi="Times New Roman"/>
                <w:sz w:val="24"/>
                <w:szCs w:val="24"/>
              </w:rPr>
              <w:t>职业健康安全目标</w:t>
            </w:r>
            <w:bookmarkEnd w:id="6"/>
          </w:p>
          <w:p>
            <w:pPr>
              <w:tabs>
                <w:tab w:val="left" w:pos="7262"/>
              </w:tabs>
              <w:spacing w:line="240" w:lineRule="auto"/>
              <w:ind w:leftChars="200"/>
              <w:jc w:val="left"/>
              <w:rPr>
                <w:rFonts w:hint="eastAsia" w:ascii="宋体" w:hAnsi="宋体" w:eastAsia="宋体"/>
                <w:sz w:val="21"/>
                <w:szCs w:val="21"/>
                <w:lang w:eastAsia="zh-CN"/>
              </w:rPr>
            </w:pPr>
            <w:r>
              <w:rPr>
                <w:rFonts w:hint="eastAsia" w:ascii="宋体" w:hAnsi="宋体"/>
                <w:sz w:val="21"/>
                <w:szCs w:val="21"/>
              </w:rPr>
              <w:t>1、各类重大伤亡事故发生率为零；</w:t>
            </w:r>
            <w:r>
              <w:rPr>
                <w:rFonts w:hint="eastAsia" w:ascii="宋体" w:hAnsi="宋体"/>
                <w:sz w:val="21"/>
                <w:szCs w:val="21"/>
                <w:lang w:eastAsia="zh-CN"/>
              </w:rPr>
              <w:tab/>
            </w:r>
          </w:p>
          <w:p>
            <w:pPr>
              <w:spacing w:line="240" w:lineRule="auto"/>
              <w:ind w:leftChars="200"/>
              <w:rPr>
                <w:rFonts w:hint="eastAsia" w:ascii="宋体" w:hAnsi="宋体"/>
                <w:sz w:val="21"/>
                <w:szCs w:val="21"/>
              </w:rPr>
            </w:pPr>
            <w:r>
              <w:rPr>
                <w:rFonts w:hint="eastAsia" w:ascii="宋体" w:hAnsi="宋体"/>
                <w:sz w:val="21"/>
                <w:szCs w:val="21"/>
              </w:rPr>
              <w:t>2、轻伤事故全年不超过3次；</w:t>
            </w:r>
          </w:p>
          <w:p>
            <w:pPr>
              <w:spacing w:line="240" w:lineRule="auto"/>
              <w:ind w:leftChars="200"/>
              <w:rPr>
                <w:rFonts w:hint="eastAsia" w:ascii="宋体" w:hAnsi="宋体"/>
                <w:sz w:val="21"/>
                <w:szCs w:val="21"/>
              </w:rPr>
            </w:pPr>
            <w:r>
              <w:rPr>
                <w:rFonts w:hint="eastAsia" w:ascii="宋体" w:hAnsi="宋体"/>
                <w:sz w:val="21"/>
                <w:szCs w:val="21"/>
              </w:rPr>
              <w:t>3、全年职业伤害病例为零</w:t>
            </w:r>
          </w:p>
          <w:p>
            <w:pPr>
              <w:ind w:firstLine="480" w:firstLineChars="200"/>
              <w:rPr>
                <w:rFonts w:hint="eastAsia" w:ascii="宋体" w:hAnsi="宋体" w:cs="宋体"/>
                <w:bCs/>
                <w:color w:val="000000"/>
                <w:spacing w:val="10"/>
                <w:sz w:val="22"/>
                <w:szCs w:val="22"/>
              </w:rPr>
            </w:pPr>
            <w:r>
              <w:rPr>
                <w:rFonts w:hint="eastAsia" w:ascii="宋体" w:hAnsi="宋体" w:cs="宋体"/>
                <w:bCs/>
                <w:color w:val="000000"/>
                <w:spacing w:val="10"/>
                <w:sz w:val="22"/>
                <w:szCs w:val="22"/>
              </w:rPr>
              <w:t>提供</w:t>
            </w:r>
            <w:r>
              <w:rPr>
                <w:rFonts w:hint="eastAsia" w:ascii="宋体" w:hAnsi="宋体" w:cs="宋体"/>
                <w:bCs/>
                <w:color w:val="000000"/>
                <w:spacing w:val="10"/>
                <w:sz w:val="22"/>
                <w:szCs w:val="22"/>
                <w:lang w:val="en-US" w:eastAsia="zh-CN"/>
              </w:rPr>
              <w:t>21年度和22年</w:t>
            </w:r>
            <w:r>
              <w:rPr>
                <w:rFonts w:hint="eastAsia" w:ascii="宋体" w:hAnsi="宋体" w:cs="宋体"/>
                <w:bCs/>
                <w:color w:val="000000"/>
                <w:spacing w:val="10"/>
                <w:sz w:val="22"/>
                <w:szCs w:val="22"/>
              </w:rPr>
              <w:t>职业健康安全目标、指标和管理方案：明确目标、指标、控制措施和方法、责任部门和责任人</w:t>
            </w:r>
          </w:p>
          <w:p>
            <w:pPr>
              <w:pStyle w:val="2"/>
              <w:ind w:firstLine="505"/>
              <w:rPr>
                <w:rFonts w:hint="eastAsia" w:ascii="宋体" w:hAnsi="宋体" w:eastAsia="宋体" w:cs="宋体"/>
                <w:bCs/>
                <w:color w:val="000000"/>
                <w:spacing w:val="10"/>
                <w:kern w:val="2"/>
                <w:sz w:val="22"/>
                <w:szCs w:val="22"/>
                <w:lang w:val="en-US" w:eastAsia="zh-CN" w:bidi="ar-SA"/>
              </w:rPr>
            </w:pPr>
            <w:r>
              <w:rPr>
                <w:rFonts w:hint="eastAsia" w:ascii="宋体" w:hAnsi="宋体" w:eastAsia="宋体" w:cs="宋体"/>
                <w:bCs/>
                <w:color w:val="000000"/>
                <w:spacing w:val="10"/>
                <w:kern w:val="2"/>
                <w:sz w:val="22"/>
                <w:szCs w:val="22"/>
                <w:lang w:val="en-US" w:eastAsia="zh-CN" w:bidi="ar-SA"/>
              </w:rPr>
              <w:t>21年年度和22年1-</w:t>
            </w:r>
            <w:r>
              <w:rPr>
                <w:rFonts w:hint="eastAsia" w:ascii="宋体" w:hAnsi="宋体" w:cs="宋体"/>
                <w:bCs/>
                <w:color w:val="000000"/>
                <w:spacing w:val="10"/>
                <w:kern w:val="2"/>
                <w:sz w:val="22"/>
                <w:szCs w:val="22"/>
                <w:lang w:val="en-US" w:eastAsia="zh-CN" w:bidi="ar-SA"/>
              </w:rPr>
              <w:t>6</w:t>
            </w:r>
            <w:r>
              <w:rPr>
                <w:rFonts w:hint="eastAsia" w:ascii="宋体" w:hAnsi="宋体" w:eastAsia="宋体" w:cs="宋体"/>
                <w:bCs/>
                <w:color w:val="000000"/>
                <w:spacing w:val="10"/>
                <w:kern w:val="2"/>
                <w:sz w:val="22"/>
                <w:szCs w:val="22"/>
                <w:lang w:val="en-US" w:eastAsia="zh-CN" w:bidi="ar-SA"/>
              </w:rPr>
              <w:t>月完成情况如下，方案实施中：</w:t>
            </w:r>
          </w:p>
          <w:p>
            <w:pPr>
              <w:spacing w:line="240" w:lineRule="auto"/>
              <w:ind w:leftChars="200"/>
              <w:rPr>
                <w:rFonts w:hint="eastAsia" w:ascii="宋体" w:hAnsi="宋体"/>
                <w:sz w:val="21"/>
                <w:szCs w:val="21"/>
              </w:rPr>
            </w:pPr>
            <w:r>
              <w:rPr>
                <w:rFonts w:hint="eastAsia" w:ascii="宋体" w:hAnsi="宋体"/>
                <w:sz w:val="21"/>
                <w:szCs w:val="21"/>
              </w:rPr>
              <w:t>1、各类重大伤亡事故发生率为零；</w:t>
            </w:r>
          </w:p>
          <w:p>
            <w:pPr>
              <w:spacing w:line="240" w:lineRule="auto"/>
              <w:ind w:leftChars="200"/>
              <w:rPr>
                <w:rFonts w:hint="eastAsia" w:ascii="宋体" w:hAnsi="宋体"/>
                <w:sz w:val="21"/>
                <w:szCs w:val="21"/>
              </w:rPr>
            </w:pPr>
            <w:r>
              <w:rPr>
                <w:rFonts w:hint="eastAsia" w:ascii="宋体" w:hAnsi="宋体"/>
                <w:sz w:val="21"/>
                <w:szCs w:val="21"/>
              </w:rPr>
              <w:t>2、轻伤事故全年</w:t>
            </w:r>
            <w:r>
              <w:rPr>
                <w:rFonts w:hint="eastAsia" w:ascii="宋体" w:hAnsi="宋体"/>
                <w:sz w:val="21"/>
                <w:szCs w:val="21"/>
                <w:lang w:val="en-US" w:eastAsia="zh-CN"/>
              </w:rPr>
              <w:t>为</w:t>
            </w:r>
            <w:r>
              <w:rPr>
                <w:rFonts w:hint="eastAsia" w:ascii="宋体" w:hAnsi="宋体"/>
                <w:sz w:val="21"/>
                <w:szCs w:val="21"/>
              </w:rPr>
              <w:t>零；</w:t>
            </w:r>
          </w:p>
          <w:p>
            <w:pPr>
              <w:spacing w:line="240" w:lineRule="auto"/>
              <w:ind w:leftChars="200"/>
              <w:rPr>
                <w:rFonts w:hint="eastAsia" w:ascii="宋体" w:hAnsi="宋体" w:eastAsia="宋体" w:cs="宋体"/>
                <w:bCs/>
                <w:color w:val="000000"/>
                <w:spacing w:val="10"/>
                <w:kern w:val="2"/>
                <w:sz w:val="22"/>
                <w:szCs w:val="22"/>
                <w:lang w:val="en-US" w:eastAsia="zh-CN" w:bidi="ar-SA"/>
              </w:rPr>
            </w:pPr>
            <w:r>
              <w:rPr>
                <w:rFonts w:hint="eastAsia" w:ascii="宋体" w:hAnsi="宋体"/>
                <w:sz w:val="21"/>
                <w:szCs w:val="21"/>
              </w:rPr>
              <w:t>3、全年职业伤害病例为零</w:t>
            </w:r>
            <w:r>
              <w:rPr>
                <w:rFonts w:hint="eastAsia" w:ascii="宋体" w:hAnsi="宋体"/>
                <w:sz w:val="21"/>
                <w:szCs w:val="21"/>
                <w:lang w:eastAsia="zh-CN"/>
              </w:rPr>
              <w:t>。</w:t>
            </w:r>
          </w:p>
          <w:p>
            <w:pPr>
              <w:pStyle w:val="2"/>
            </w:pP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rPr>
                <w:rFonts w:ascii="宋体" w:hAnsi="宋体" w:cs="宋体"/>
                <w:color w:val="000000"/>
                <w:sz w:val="22"/>
                <w:szCs w:val="22"/>
              </w:rPr>
            </w:pPr>
            <w:r>
              <w:rPr>
                <w:rFonts w:hint="eastAsia" w:ascii="宋体" w:hAnsi="宋体" w:cs="宋体"/>
                <w:color w:val="000000"/>
                <w:sz w:val="22"/>
                <w:szCs w:val="22"/>
              </w:rPr>
              <w:t>变更的策划</w:t>
            </w:r>
          </w:p>
          <w:p>
            <w:pPr>
              <w:jc w:val="left"/>
              <w:rPr>
                <w:rFonts w:ascii="宋体" w:hAnsi="宋体" w:cs="宋体"/>
                <w:color w:val="000000"/>
                <w:sz w:val="22"/>
                <w:szCs w:val="22"/>
              </w:rPr>
            </w:pPr>
          </w:p>
        </w:tc>
        <w:tc>
          <w:tcPr>
            <w:tcW w:w="1026" w:type="dxa"/>
          </w:tcPr>
          <w:p>
            <w:pPr>
              <w:jc w:val="left"/>
              <w:rPr>
                <w:rFonts w:ascii="宋体" w:hAnsi="宋体" w:cs="宋体"/>
                <w:color w:val="000000"/>
                <w:sz w:val="22"/>
                <w:szCs w:val="22"/>
              </w:rPr>
            </w:pPr>
            <w:r>
              <w:rPr>
                <w:rFonts w:hint="eastAsia" w:ascii="宋体" w:hAnsi="宋体" w:cs="宋体"/>
                <w:color w:val="000000"/>
                <w:sz w:val="22"/>
                <w:szCs w:val="22"/>
              </w:rPr>
              <w:t xml:space="preserve">Q6.3 </w:t>
            </w:r>
          </w:p>
          <w:p>
            <w:pPr>
              <w:jc w:val="left"/>
              <w:rPr>
                <w:rFonts w:ascii="宋体" w:hAnsi="宋体" w:cs="宋体"/>
                <w:color w:val="000000"/>
                <w:sz w:val="22"/>
                <w:szCs w:val="22"/>
              </w:rPr>
            </w:pPr>
          </w:p>
        </w:tc>
        <w:tc>
          <w:tcPr>
            <w:tcW w:w="10429" w:type="dxa"/>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与公司</w:t>
            </w:r>
            <w:r>
              <w:rPr>
                <w:rFonts w:hint="eastAsia" w:ascii="宋体" w:hAnsi="宋体" w:cs="宋体"/>
                <w:color w:val="000000"/>
                <w:sz w:val="22"/>
                <w:szCs w:val="22"/>
                <w:lang w:val="en-US" w:eastAsia="zh-CN"/>
              </w:rPr>
              <w:t>领导</w:t>
            </w:r>
            <w:r>
              <w:rPr>
                <w:rFonts w:hint="eastAsia" w:ascii="宋体" w:hAnsi="宋体" w:cs="宋体"/>
                <w:color w:val="000000"/>
                <w:sz w:val="22"/>
                <w:szCs w:val="22"/>
              </w:rPr>
              <w:t>交流：公司在变更前考虑了变更目的及其潜在后果、管理体系的完整性、资源的可获得性以及相关部门和岗位的责任和权限的调整。</w:t>
            </w:r>
          </w:p>
          <w:p>
            <w:pPr>
              <w:ind w:firstLine="440" w:firstLineChars="200"/>
              <w:jc w:val="left"/>
              <w:rPr>
                <w:rFonts w:ascii="宋体" w:hAnsi="宋体" w:cs="宋体"/>
                <w:color w:val="000000"/>
                <w:sz w:val="22"/>
                <w:szCs w:val="22"/>
              </w:rPr>
            </w:pPr>
            <w:r>
              <w:rPr>
                <w:rFonts w:hint="eastAsia" w:ascii="宋体" w:hAnsi="宋体" w:cs="宋体"/>
                <w:color w:val="000000"/>
                <w:sz w:val="22"/>
                <w:szCs w:val="22"/>
                <w:lang w:val="en-US" w:eastAsia="zh-CN"/>
              </w:rPr>
              <w:t>执行</w:t>
            </w:r>
            <w:r>
              <w:rPr>
                <w:rFonts w:hint="eastAsia" w:ascii="宋体" w:hAnsi="宋体" w:cs="宋体"/>
                <w:color w:val="000000"/>
                <w:sz w:val="22"/>
                <w:szCs w:val="22"/>
              </w:rPr>
              <w:t>变更</w:t>
            </w:r>
            <w:r>
              <w:rPr>
                <w:rFonts w:hint="eastAsia" w:ascii="宋体" w:hAnsi="宋体" w:cs="宋体"/>
                <w:color w:val="000000"/>
                <w:sz w:val="22"/>
                <w:szCs w:val="22"/>
                <w:lang w:val="en-US" w:eastAsia="zh-CN"/>
              </w:rPr>
              <w:t>要求</w:t>
            </w:r>
            <w:r>
              <w:rPr>
                <w:rFonts w:hint="eastAsia" w:ascii="宋体" w:hAnsi="宋体" w:cs="宋体"/>
                <w:color w:val="000000"/>
                <w:sz w:val="22"/>
                <w:szCs w:val="22"/>
              </w:rPr>
              <w:t>。</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rPr>
                <w:rFonts w:ascii="宋体" w:hAnsi="宋体" w:cs="宋体"/>
                <w:color w:val="000000"/>
                <w:sz w:val="22"/>
                <w:szCs w:val="22"/>
              </w:rPr>
            </w:pPr>
            <w:r>
              <w:rPr>
                <w:rFonts w:hint="eastAsia" w:ascii="宋体" w:hAnsi="宋体" w:cs="宋体"/>
                <w:color w:val="000000"/>
                <w:sz w:val="22"/>
                <w:szCs w:val="22"/>
              </w:rPr>
              <w:t>资源</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总则</w:t>
            </w:r>
          </w:p>
          <w:p>
            <w:pPr>
              <w:jc w:val="left"/>
              <w:rPr>
                <w:rFonts w:ascii="宋体" w:hAnsi="宋体" w:cs="宋体"/>
                <w:color w:val="000000"/>
                <w:sz w:val="22"/>
                <w:szCs w:val="22"/>
              </w:rPr>
            </w:pPr>
          </w:p>
        </w:tc>
        <w:tc>
          <w:tcPr>
            <w:tcW w:w="1026" w:type="dxa"/>
          </w:tcPr>
          <w:p>
            <w:pPr>
              <w:jc w:val="left"/>
              <w:rPr>
                <w:rFonts w:ascii="宋体" w:hAnsi="宋体" w:cs="宋体"/>
                <w:color w:val="000000"/>
                <w:sz w:val="22"/>
                <w:szCs w:val="22"/>
              </w:rPr>
            </w:pPr>
            <w:r>
              <w:rPr>
                <w:rFonts w:hint="eastAsia" w:ascii="宋体" w:hAnsi="宋体" w:cs="Arial"/>
                <w:szCs w:val="21"/>
              </w:rPr>
              <w:t>7.1.1</w:t>
            </w:r>
            <w:r>
              <w:rPr>
                <w:rFonts w:hint="eastAsia" w:ascii="宋体" w:hAnsi="宋体" w:cs="Arial"/>
                <w:sz w:val="18"/>
                <w:szCs w:val="18"/>
              </w:rPr>
              <w:t>（O7.1）</w:t>
            </w:r>
          </w:p>
        </w:tc>
        <w:tc>
          <w:tcPr>
            <w:tcW w:w="10429" w:type="dxa"/>
          </w:tcPr>
          <w:p>
            <w:pPr>
              <w:pStyle w:val="2"/>
              <w:spacing w:before="0" w:after="0"/>
              <w:ind w:firstLine="480" w:firstLineChars="200"/>
              <w:rPr>
                <w:rFonts w:hint="default" w:eastAsia="宋体"/>
                <w:spacing w:val="0"/>
                <w:lang w:val="en-US" w:eastAsia="zh-CN"/>
              </w:rPr>
            </w:pPr>
            <w:r>
              <w:rPr>
                <w:rFonts w:hint="eastAsia" w:ascii="宋体" w:hAnsi="宋体" w:cs="宋体"/>
                <w:color w:val="000000"/>
                <w:sz w:val="22"/>
                <w:szCs w:val="22"/>
              </w:rPr>
              <w:t>公司</w:t>
            </w:r>
            <w:r>
              <w:rPr>
                <w:rFonts w:hint="eastAsia" w:ascii="宋体" w:hAnsi="宋体" w:cs="宋体"/>
                <w:color w:val="000000"/>
                <w:sz w:val="22"/>
                <w:szCs w:val="22"/>
                <w:lang w:val="en-US" w:eastAsia="zh-CN"/>
              </w:rPr>
              <w:t>领导</w:t>
            </w:r>
            <w:r>
              <w:rPr>
                <w:rFonts w:hint="eastAsia" w:ascii="宋体" w:hAnsi="宋体" w:cs="宋体"/>
                <w:color w:val="000000"/>
                <w:sz w:val="22"/>
                <w:szCs w:val="22"/>
              </w:rPr>
              <w:t>说明：</w:t>
            </w:r>
            <w:r>
              <w:rPr>
                <w:rFonts w:hint="eastAsia" w:ascii="宋体" w:hAnsi="宋体" w:cs="宋体"/>
                <w:color w:val="000000"/>
                <w:spacing w:val="0"/>
                <w:sz w:val="22"/>
                <w:szCs w:val="22"/>
              </w:rPr>
              <w:t>公司的人力、工作场所、</w:t>
            </w:r>
            <w:r>
              <w:rPr>
                <w:rFonts w:hint="eastAsia" w:ascii="宋体" w:hAnsi="宋体" w:cs="宋体"/>
                <w:color w:val="000000"/>
                <w:spacing w:val="0"/>
                <w:sz w:val="22"/>
                <w:szCs w:val="22"/>
                <w:lang w:val="en-US" w:eastAsia="zh-CN"/>
              </w:rPr>
              <w:t>设备</w:t>
            </w:r>
            <w:r>
              <w:rPr>
                <w:rFonts w:hint="eastAsia" w:ascii="宋体" w:hAnsi="宋体" w:cs="宋体"/>
                <w:color w:val="000000"/>
                <w:spacing w:val="0"/>
                <w:sz w:val="22"/>
                <w:szCs w:val="22"/>
              </w:rPr>
              <w:t>设施、工作环境、运输等资源能够满足当前公司实际需要。</w:t>
            </w:r>
            <w:r>
              <w:rPr>
                <w:rFonts w:hint="eastAsia" w:ascii="宋体" w:hAnsi="宋体" w:cs="宋体"/>
                <w:color w:val="000000"/>
                <w:spacing w:val="0"/>
                <w:sz w:val="22"/>
                <w:szCs w:val="22"/>
                <w:lang w:val="en-US" w:eastAsia="zh-CN"/>
              </w:rPr>
              <w:t>新增产品生产由现有工作人员完成，不涉及新增。</w:t>
            </w:r>
            <w:bookmarkStart w:id="7" w:name="_GoBack"/>
            <w:bookmarkEnd w:id="7"/>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120" w:type="dxa"/>
            <w:vAlign w:val="center"/>
          </w:tcPr>
          <w:p>
            <w:pPr>
              <w:jc w:val="left"/>
              <w:rPr>
                <w:rFonts w:hint="eastAsia" w:ascii="宋体" w:hAnsi="宋体" w:cs="宋体"/>
                <w:color w:val="000000"/>
                <w:sz w:val="22"/>
                <w:szCs w:val="22"/>
              </w:rPr>
            </w:pPr>
            <w:r>
              <w:rPr>
                <w:rFonts w:hint="eastAsia" w:ascii="宋体" w:hAnsi="宋体" w:cs="宋体"/>
                <w:color w:val="000000"/>
                <w:sz w:val="22"/>
                <w:szCs w:val="22"/>
              </w:rPr>
              <w:t>监视、测量、分析和评价</w:t>
            </w:r>
          </w:p>
          <w:p>
            <w:pPr>
              <w:jc w:val="left"/>
              <w:rPr>
                <w:rFonts w:hint="eastAsia" w:ascii="宋体" w:hAnsi="宋体" w:cs="宋体"/>
                <w:color w:val="000000"/>
                <w:sz w:val="22"/>
                <w:szCs w:val="22"/>
                <w:lang w:val="en-US" w:eastAsia="zh-CN"/>
              </w:rPr>
            </w:pPr>
          </w:p>
          <w:p>
            <w:pPr>
              <w:jc w:val="left"/>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分析和评价</w:t>
            </w:r>
          </w:p>
        </w:tc>
        <w:tc>
          <w:tcPr>
            <w:tcW w:w="1026" w:type="dxa"/>
            <w:vAlign w:val="center"/>
          </w:tcPr>
          <w:p>
            <w:pPr>
              <w:jc w:val="both"/>
              <w:rPr>
                <w:rFonts w:hint="eastAsia" w:ascii="宋体" w:hAnsi="宋体" w:cs="宋体"/>
                <w:color w:val="000000"/>
                <w:sz w:val="22"/>
                <w:szCs w:val="22"/>
              </w:rPr>
            </w:pPr>
            <w:r>
              <w:rPr>
                <w:rFonts w:hint="eastAsia" w:ascii="宋体" w:hAnsi="宋体" w:cs="宋体"/>
                <w:color w:val="000000"/>
                <w:sz w:val="22"/>
                <w:szCs w:val="22"/>
                <w:lang w:val="en-US" w:eastAsia="zh-CN"/>
              </w:rPr>
              <w:t xml:space="preserve">QO </w:t>
            </w:r>
            <w:r>
              <w:rPr>
                <w:rFonts w:hint="eastAsia" w:ascii="宋体" w:hAnsi="宋体" w:cs="宋体"/>
                <w:color w:val="000000"/>
                <w:sz w:val="22"/>
                <w:szCs w:val="22"/>
              </w:rPr>
              <w:t>9.1.1</w:t>
            </w:r>
          </w:p>
          <w:p>
            <w:pPr>
              <w:jc w:val="both"/>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 xml:space="preserve">Q </w:t>
            </w:r>
          </w:p>
          <w:p>
            <w:pPr>
              <w:jc w:val="both"/>
              <w:rPr>
                <w:rFonts w:hint="eastAsia" w:ascii="宋体" w:hAnsi="宋体" w:cs="宋体"/>
                <w:color w:val="000000"/>
                <w:sz w:val="22"/>
                <w:szCs w:val="22"/>
                <w:lang w:val="en-US" w:eastAsia="zh-CN"/>
              </w:rPr>
            </w:pPr>
            <w:r>
              <w:rPr>
                <w:rFonts w:hint="eastAsia" w:ascii="宋体" w:hAnsi="宋体" w:cs="宋体"/>
                <w:color w:val="000000"/>
                <w:sz w:val="22"/>
                <w:szCs w:val="22"/>
              </w:rPr>
              <w:t>9.1.</w:t>
            </w:r>
            <w:r>
              <w:rPr>
                <w:rFonts w:hint="eastAsia" w:ascii="宋体" w:hAnsi="宋体" w:cs="宋体"/>
                <w:color w:val="000000"/>
                <w:sz w:val="22"/>
                <w:szCs w:val="22"/>
                <w:lang w:val="en-US" w:eastAsia="zh-CN"/>
              </w:rPr>
              <w:t>3</w:t>
            </w:r>
            <w:r>
              <w:rPr>
                <w:rFonts w:hint="eastAsia" w:ascii="宋体" w:hAnsi="宋体" w:cs="宋体"/>
                <w:color w:val="000000"/>
                <w:sz w:val="22"/>
                <w:szCs w:val="22"/>
              </w:rPr>
              <w:t xml:space="preserve"> </w:t>
            </w:r>
          </w:p>
        </w:tc>
        <w:tc>
          <w:tcPr>
            <w:tcW w:w="10429" w:type="dxa"/>
            <w:vAlign w:val="center"/>
          </w:tcPr>
          <w:p>
            <w:pPr>
              <w:ind w:firstLine="440" w:firstLineChars="20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公司编制并执行《环境和职业健康安全监测控制程序》、《检验、测量和试验设备控制程序》、《检验和试验控制程序》；</w:t>
            </w:r>
          </w:p>
          <w:p>
            <w:pPr>
              <w:ind w:firstLine="440" w:firstLineChars="20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综合办通过定期抽查各部门、车间对体系文件的执行情况、法律法规的遵循情况、目标、指标的完成情况、环境、职业健康安全管理方案实施情况等；</w:t>
            </w:r>
          </w:p>
          <w:p>
            <w:pPr>
              <w:ind w:firstLine="440" w:firstLineChars="20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通内审、管理评审对管理体系适宜、符合性进行监视；质管部负责入厂材料验收、产成品生产过程监督监视和测量，分析和评价原材料和成品符合性；供销部对顾客满意进行评价与分析；</w:t>
            </w:r>
          </w:p>
          <w:p>
            <w:pPr>
              <w:ind w:firstLine="440" w:firstLineChars="20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1、公司组织各部门策划和实施必要的监视和测量活动，确保产品、体系和过程的符合性，以持续改进质量管理体系的有效性；</w:t>
            </w:r>
          </w:p>
          <w:p>
            <w:pPr>
              <w:ind w:firstLine="440" w:firstLineChars="20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2、每月对安全目标和指标、方案完成或执行情况进行检查考核，每季度对质量目标完成统计；</w:t>
            </w:r>
          </w:p>
          <w:p>
            <w:pPr>
              <w:ind w:firstLine="440" w:firstLineChars="20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抽“2021年第四季度质量目标完成情况统计记录”，2022年1月-6月对公司及各部门质量目标完成情况统计，质量目标、指标均达成。</w:t>
            </w:r>
          </w:p>
          <w:p>
            <w:pPr>
              <w:ind w:firstLine="440" w:firstLineChars="20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查2021年第四季度、22年1-6月对公司及各职能部门安全目标指标每月完成情况统计，公司及各部门目标指标，均达成；方案有效实施。</w:t>
            </w:r>
          </w:p>
          <w:p>
            <w:pPr>
              <w:ind w:firstLine="440" w:firstLineChars="20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3、公司的过程和体系的监视和测量主要是通过内审、管理评审、目标考核以及日常监督、产品检验、顾客满意度测量等的方式完成；</w:t>
            </w:r>
          </w:p>
          <w:p>
            <w:pPr>
              <w:ind w:firstLine="440" w:firstLineChars="20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4、供销部负责对供方予以评价，对供方实施了监视和测量；</w:t>
            </w:r>
          </w:p>
          <w:p>
            <w:pPr>
              <w:ind w:firstLine="440" w:firstLineChars="20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5、供销部对产品销售过程的监视和测量活动进行策划和实施；对顾客满意度进行定期评价和分析；</w:t>
            </w:r>
          </w:p>
          <w:p>
            <w:pPr>
              <w:ind w:firstLine="440" w:firstLineChars="200"/>
              <w:jc w:val="left"/>
              <w:rPr>
                <w:rFonts w:hint="eastAsia" w:ascii="宋体" w:hAnsi="宋体" w:cs="宋体"/>
                <w:color w:val="000000"/>
                <w:sz w:val="22"/>
                <w:szCs w:val="22"/>
              </w:rPr>
            </w:pPr>
            <w:r>
              <w:rPr>
                <w:rFonts w:hint="eastAsia" w:ascii="宋体" w:hAnsi="宋体" w:cs="宋体"/>
                <w:color w:val="000000"/>
                <w:sz w:val="22"/>
                <w:szCs w:val="22"/>
                <w:lang w:val="en-US" w:eastAsia="zh-CN"/>
              </w:rPr>
              <w:t>6、生技部对生产现场产品实现各过程进行监督检查、分析与评价；</w:t>
            </w:r>
          </w:p>
          <w:p>
            <w:pPr>
              <w:ind w:firstLine="440" w:firstLineChars="200"/>
              <w:jc w:val="left"/>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7、公司2022年1月16日、2月16日、3月14日、4月15日进行“职业健康安全巡检记录”，检查结果均良好；</w:t>
            </w:r>
          </w:p>
          <w:p>
            <w:pPr>
              <w:ind w:firstLine="440" w:firstLineChars="20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8、每月对各现场的灭火器和消防栓进行月度检查，结果正常；</w:t>
            </w:r>
          </w:p>
          <w:p>
            <w:pPr>
              <w:ind w:firstLine="440" w:firstLineChars="20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抽 有2021年10月15日、12月16日、2022年3月17日消防栓检查记录：水带、水枪、栓门、通道等均合格；</w:t>
            </w:r>
          </w:p>
          <w:p>
            <w:pPr>
              <w:ind w:firstLine="440" w:firstLineChars="200"/>
              <w:jc w:val="left"/>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抽 有2022年1月15日、2月16日、2022年4月15日灭火器检查记录：外观、铅封、橡皮管、喷嘴、销子拔插等，均合格</w:t>
            </w:r>
          </w:p>
          <w:p>
            <w:pPr>
              <w:ind w:firstLine="440" w:firstLineChars="20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有监视和测量仪器台帐及校准证书</w:t>
            </w:r>
          </w:p>
          <w:p>
            <w:pPr>
              <w:ind w:firstLine="440" w:firstLineChars="20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抽 钢卷尺、游标卡尺、万用表三部，均有合格校准证书2022年4月8日，在有效期内。</w:t>
            </w:r>
          </w:p>
          <w:p>
            <w:pPr>
              <w:pStyle w:val="2"/>
              <w:rPr>
                <w:rFonts w:hint="default"/>
                <w:lang w:val="en-US" w:eastAsia="zh-CN"/>
              </w:rPr>
            </w:pPr>
            <w:r>
              <w:rPr>
                <w:rFonts w:hint="eastAsia" w:ascii="宋体" w:hAnsi="宋体" w:cs="宋体"/>
                <w:color w:val="000000"/>
                <w:sz w:val="22"/>
                <w:szCs w:val="22"/>
                <w:lang w:val="en-US" w:eastAsia="zh-CN"/>
              </w:rPr>
              <w:t xml:space="preserve">   抽 卷尺0-5me、 接地电阻仪LK26788X 有校准合格证书 校准时间为2022年7月12日</w:t>
            </w:r>
          </w:p>
          <w:p>
            <w:pPr>
              <w:ind w:firstLine="440" w:firstLineChars="20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经现场交流确认，结合公司认证范围公司无安全检测设备。公司生产和服务过程及工艺特点无显著职业危害，结合公司认证范围员工不涉及职业病，不需监测。</w:t>
            </w:r>
          </w:p>
          <w:p>
            <w:pPr>
              <w:ind w:firstLine="440" w:firstLineChars="200"/>
              <w:jc w:val="left"/>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公司经营能遵守相关的法律法规，近年来没有违反职业健康安全法律法规现象，没有发生质量与职业健康安全的事故。</w:t>
            </w:r>
          </w:p>
          <w:p>
            <w:pPr>
              <w:ind w:firstLine="440" w:firstLineChars="200"/>
              <w:jc w:val="left"/>
              <w:rPr>
                <w:rFonts w:hint="eastAsia" w:ascii="宋体" w:hAnsi="宋体" w:cs="宋体"/>
                <w:color w:val="000000"/>
                <w:sz w:val="22"/>
                <w:szCs w:val="22"/>
                <w:lang w:val="en-US" w:eastAsia="zh-CN"/>
              </w:rPr>
            </w:pPr>
          </w:p>
        </w:tc>
        <w:tc>
          <w:tcPr>
            <w:tcW w:w="1054" w:type="dxa"/>
            <w:vAlign w:val="top"/>
          </w:tcPr>
          <w:p>
            <w:pPr>
              <w:spacing w:line="360" w:lineRule="auto"/>
              <w:rPr>
                <w:rFonts w:ascii="楷体" w:hAnsi="楷体" w:eastAsia="楷体"/>
                <w:sz w:val="24"/>
                <w:szCs w:val="24"/>
              </w:rPr>
            </w:pPr>
          </w:p>
          <w:p>
            <w:pPr>
              <w:spacing w:line="360" w:lineRule="auto"/>
              <w:jc w:val="center"/>
              <w:rPr>
                <w:rFonts w:hint="eastAsia" w:ascii="楷体" w:hAnsi="楷体" w:eastAsia="楷体" w:cs="Times New Roman"/>
                <w:kern w:val="2"/>
                <w:sz w:val="24"/>
                <w:szCs w:val="24"/>
                <w:lang w:val="en-US" w:eastAsia="zh-CN" w:bidi="ar-SA"/>
              </w:rP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rPr>
                <w:rFonts w:ascii="宋体" w:hAnsi="宋体" w:cs="宋体"/>
                <w:color w:val="000000"/>
                <w:sz w:val="22"/>
                <w:szCs w:val="22"/>
              </w:rPr>
            </w:pPr>
            <w:r>
              <w:rPr>
                <w:rFonts w:hint="eastAsia" w:ascii="宋体" w:hAnsi="宋体" w:cs="宋体"/>
                <w:color w:val="000000"/>
                <w:sz w:val="22"/>
                <w:szCs w:val="22"/>
              </w:rPr>
              <w:t>管理评审</w:t>
            </w:r>
          </w:p>
          <w:p>
            <w:pPr>
              <w:jc w:val="left"/>
            </w:pPr>
          </w:p>
        </w:tc>
        <w:tc>
          <w:tcPr>
            <w:tcW w:w="1026" w:type="dxa"/>
          </w:tcPr>
          <w:p>
            <w:pPr>
              <w:jc w:val="left"/>
              <w:rPr>
                <w:rFonts w:ascii="宋体" w:hAnsi="宋体" w:cs="宋体"/>
                <w:color w:val="000000"/>
                <w:sz w:val="22"/>
                <w:szCs w:val="22"/>
              </w:rPr>
            </w:pPr>
            <w:r>
              <w:rPr>
                <w:rFonts w:hint="eastAsia" w:ascii="宋体" w:hAnsi="宋体" w:cs="宋体"/>
                <w:color w:val="000000"/>
                <w:sz w:val="22"/>
                <w:szCs w:val="22"/>
              </w:rPr>
              <w:t xml:space="preserve">9.3 </w:t>
            </w:r>
          </w:p>
          <w:p>
            <w:pPr>
              <w:jc w:val="left"/>
              <w:rPr>
                <w:rFonts w:ascii="宋体" w:hAnsi="宋体" w:cs="宋体"/>
                <w:color w:val="000000"/>
                <w:sz w:val="22"/>
                <w:szCs w:val="22"/>
              </w:rPr>
            </w:pPr>
          </w:p>
        </w:tc>
        <w:tc>
          <w:tcPr>
            <w:tcW w:w="10429" w:type="dxa"/>
            <w:vAlign w:val="center"/>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公司管理评审每年进行一次，由总经理根据实际需要决定是否增加管理评审的频次。</w:t>
            </w:r>
          </w:p>
          <w:p>
            <w:pPr>
              <w:ind w:firstLine="440" w:firstLineChars="200"/>
              <w:jc w:val="left"/>
              <w:rPr>
                <w:rFonts w:ascii="宋体" w:hAnsi="宋体" w:cs="宋体"/>
                <w:color w:val="000000"/>
                <w:sz w:val="22"/>
                <w:szCs w:val="22"/>
              </w:rPr>
            </w:pPr>
            <w:r>
              <w:rPr>
                <w:rFonts w:hint="eastAsia" w:ascii="宋体" w:hAnsi="宋体" w:cs="宋体"/>
                <w:color w:val="000000"/>
                <w:sz w:val="22"/>
                <w:szCs w:val="22"/>
              </w:rPr>
              <w:t>提供了2</w:t>
            </w:r>
            <w:r>
              <w:rPr>
                <w:rFonts w:ascii="宋体" w:hAnsi="宋体" w:cs="宋体"/>
                <w:color w:val="000000"/>
                <w:sz w:val="22"/>
                <w:szCs w:val="22"/>
              </w:rPr>
              <w:t>02</w:t>
            </w:r>
            <w:r>
              <w:rPr>
                <w:rFonts w:hint="eastAsia" w:ascii="宋体" w:hAnsi="宋体" w:cs="宋体"/>
                <w:color w:val="000000"/>
                <w:sz w:val="22"/>
                <w:szCs w:val="22"/>
                <w:lang w:val="en-US" w:eastAsia="zh-CN"/>
              </w:rPr>
              <w:t>2</w:t>
            </w:r>
            <w:r>
              <w:rPr>
                <w:rFonts w:hint="eastAsia" w:ascii="宋体" w:hAnsi="宋体" w:cs="宋体"/>
                <w:color w:val="000000"/>
                <w:sz w:val="22"/>
                <w:szCs w:val="22"/>
              </w:rPr>
              <w:t>年公</w:t>
            </w:r>
            <w:r>
              <w:rPr>
                <w:rFonts w:hint="eastAsia" w:ascii="宋体" w:hAnsi="宋体" w:cs="宋体"/>
                <w:color w:val="auto"/>
                <w:sz w:val="22"/>
                <w:szCs w:val="22"/>
              </w:rPr>
              <w:t>司管理评审活动资料如下：</w:t>
            </w:r>
          </w:p>
          <w:p>
            <w:pPr>
              <w:ind w:firstLine="440" w:firstLineChars="200"/>
              <w:jc w:val="left"/>
              <w:rPr>
                <w:rFonts w:ascii="宋体" w:hAnsi="宋体" w:cs="宋体"/>
                <w:color w:val="000000"/>
                <w:sz w:val="22"/>
                <w:szCs w:val="22"/>
              </w:rPr>
            </w:pPr>
            <w:r>
              <w:rPr>
                <w:rFonts w:hint="eastAsia" w:ascii="宋体" w:hAnsi="宋体" w:cs="宋体"/>
                <w:color w:val="000000"/>
                <w:sz w:val="22"/>
                <w:szCs w:val="22"/>
              </w:rPr>
              <w:t>1）查</w:t>
            </w:r>
            <w:r>
              <w:rPr>
                <w:rFonts w:hint="eastAsia" w:ascii="宋体" w:hAnsi="宋体" w:cs="宋体"/>
                <w:color w:val="000000"/>
                <w:sz w:val="22"/>
                <w:szCs w:val="22"/>
                <w:lang w:val="en-US" w:eastAsia="zh-CN"/>
              </w:rPr>
              <w:t xml:space="preserve">  提供</w:t>
            </w:r>
            <w:r>
              <w:rPr>
                <w:rFonts w:hint="eastAsia" w:ascii="宋体" w:hAnsi="宋体" w:cs="宋体"/>
                <w:color w:val="000000"/>
                <w:sz w:val="22"/>
                <w:szCs w:val="22"/>
              </w:rPr>
              <w:t>《管理评审计划》，</w:t>
            </w:r>
            <w:r>
              <w:rPr>
                <w:sz w:val="32"/>
              </w:rPr>
              <w:t xml:space="preserve"> </w:t>
            </w:r>
            <w:r>
              <w:rPr>
                <w:rFonts w:hint="eastAsia" w:ascii="宋体" w:hAnsi="宋体"/>
                <w:szCs w:val="21"/>
              </w:rPr>
              <w:t>编制：</w:t>
            </w:r>
            <w:r>
              <w:rPr>
                <w:rFonts w:hint="eastAsia" w:ascii="宋体" w:hAnsi="宋体"/>
                <w:szCs w:val="21"/>
                <w:lang w:eastAsia="zh-CN"/>
              </w:rPr>
              <w:t>徐宗彩</w:t>
            </w:r>
            <w:r>
              <w:rPr>
                <w:rFonts w:hint="eastAsia" w:ascii="宋体" w:hAnsi="宋体"/>
                <w:szCs w:val="21"/>
              </w:rPr>
              <w:t xml:space="preserve">    总经</w:t>
            </w:r>
            <w:r>
              <w:rPr>
                <w:rFonts w:hint="eastAsia" w:ascii="宋体" w:hAnsi="宋体"/>
                <w:szCs w:val="21"/>
                <w:highlight w:val="none"/>
              </w:rPr>
              <w:t>理：</w:t>
            </w:r>
            <w:r>
              <w:rPr>
                <w:rFonts w:hint="eastAsia" w:ascii="宋体" w:hAnsi="宋体"/>
                <w:szCs w:val="21"/>
                <w:highlight w:val="none"/>
                <w:lang w:eastAsia="zh-CN"/>
              </w:rPr>
              <w:t>赵绪荣</w:t>
            </w:r>
          </w:p>
          <w:p>
            <w:pPr>
              <w:ind w:firstLine="880" w:firstLineChars="400"/>
              <w:jc w:val="left"/>
              <w:rPr>
                <w:rFonts w:ascii="宋体" w:hAnsi="宋体" w:cs="宋体"/>
                <w:color w:val="000000"/>
                <w:sz w:val="22"/>
                <w:szCs w:val="22"/>
              </w:rPr>
            </w:pPr>
            <w:r>
              <w:rPr>
                <w:rFonts w:hint="eastAsia" w:ascii="宋体" w:hAnsi="宋体" w:cs="宋体"/>
                <w:color w:val="000000"/>
                <w:sz w:val="22"/>
                <w:szCs w:val="22"/>
              </w:rPr>
              <w:t>计划评审时间：202</w:t>
            </w:r>
            <w:r>
              <w:rPr>
                <w:rFonts w:hint="eastAsia" w:ascii="宋体" w:hAnsi="宋体" w:cs="宋体"/>
                <w:color w:val="000000"/>
                <w:sz w:val="22"/>
                <w:szCs w:val="22"/>
                <w:lang w:val="en-US" w:eastAsia="zh-CN"/>
              </w:rPr>
              <w:t>2</w:t>
            </w:r>
            <w:r>
              <w:rPr>
                <w:rFonts w:hint="eastAsia" w:ascii="宋体" w:hAnsi="宋体" w:cs="宋体"/>
                <w:color w:val="000000"/>
                <w:sz w:val="22"/>
                <w:szCs w:val="22"/>
              </w:rPr>
              <w:t>年</w:t>
            </w:r>
            <w:r>
              <w:rPr>
                <w:rFonts w:hint="eastAsia" w:ascii="宋体" w:hAnsi="宋体" w:cs="宋体"/>
                <w:color w:val="000000"/>
                <w:sz w:val="22"/>
                <w:szCs w:val="22"/>
                <w:lang w:val="en-US" w:eastAsia="zh-CN"/>
              </w:rPr>
              <w:t>6</w:t>
            </w:r>
            <w:r>
              <w:rPr>
                <w:rFonts w:hint="eastAsia" w:ascii="宋体" w:hAnsi="宋体" w:cs="宋体"/>
                <w:color w:val="000000"/>
                <w:sz w:val="22"/>
                <w:szCs w:val="22"/>
              </w:rPr>
              <w:t>月</w:t>
            </w:r>
            <w:r>
              <w:rPr>
                <w:rFonts w:hint="eastAsia" w:ascii="宋体" w:hAnsi="宋体" w:cs="宋体"/>
                <w:color w:val="000000"/>
                <w:sz w:val="22"/>
                <w:szCs w:val="22"/>
                <w:lang w:val="en-US" w:eastAsia="zh-CN"/>
              </w:rPr>
              <w:t>30</w:t>
            </w:r>
            <w:r>
              <w:rPr>
                <w:rFonts w:hint="eastAsia" w:ascii="宋体" w:hAnsi="宋体" w:cs="宋体"/>
                <w:color w:val="000000"/>
                <w:sz w:val="22"/>
                <w:szCs w:val="22"/>
              </w:rPr>
              <w:t>日；</w:t>
            </w:r>
          </w:p>
          <w:p>
            <w:pPr>
              <w:ind w:firstLine="880" w:firstLineChars="400"/>
              <w:jc w:val="left"/>
            </w:pPr>
            <w:r>
              <w:rPr>
                <w:rFonts w:hint="eastAsia" w:ascii="宋体" w:hAnsi="宋体" w:cs="宋体"/>
                <w:color w:val="000000"/>
                <w:sz w:val="22"/>
                <w:szCs w:val="22"/>
              </w:rPr>
              <w:t>明确评审目的、评审内容、评审地点、要求，参加人员：总经理、管理者代表、各部门负责人及其他相关人员；</w:t>
            </w:r>
          </w:p>
          <w:p>
            <w:pPr>
              <w:numPr>
                <w:ilvl w:val="0"/>
                <w:numId w:val="3"/>
              </w:numPr>
              <w:tabs>
                <w:tab w:val="left" w:pos="312"/>
              </w:tabs>
              <w:ind w:firstLine="440" w:firstLineChars="200"/>
              <w:jc w:val="left"/>
              <w:rPr>
                <w:rFonts w:hint="eastAsia" w:ascii="宋体" w:hAnsi="宋体" w:cs="宋体"/>
                <w:color w:val="000000"/>
                <w:sz w:val="22"/>
                <w:szCs w:val="22"/>
              </w:rPr>
            </w:pPr>
            <w:r>
              <w:rPr>
                <w:rFonts w:hint="eastAsia" w:ascii="宋体" w:hAnsi="宋体" w:cs="宋体"/>
                <w:color w:val="000000"/>
                <w:sz w:val="22"/>
                <w:szCs w:val="22"/>
              </w:rPr>
              <w:t>管理评审输入：</w:t>
            </w:r>
            <w:r>
              <w:rPr>
                <w:rFonts w:hint="eastAsia" w:ascii="宋体" w:hAnsi="宋体" w:cs="宋体"/>
                <w:color w:val="000000"/>
                <w:sz w:val="22"/>
                <w:szCs w:val="22"/>
                <w:lang w:val="en-US" w:eastAsia="zh-CN"/>
              </w:rPr>
              <w:t>有管理者代表、</w:t>
            </w:r>
            <w:r>
              <w:rPr>
                <w:rFonts w:hint="eastAsia" w:ascii="宋体" w:hAnsi="宋体" w:cs="宋体"/>
                <w:color w:val="000000"/>
                <w:sz w:val="22"/>
                <w:szCs w:val="22"/>
              </w:rPr>
              <w:t>各部门管理</w:t>
            </w:r>
            <w:r>
              <w:rPr>
                <w:rFonts w:hint="eastAsia" w:ascii="宋体" w:hAnsi="宋体" w:cs="宋体"/>
                <w:color w:val="000000"/>
                <w:sz w:val="22"/>
                <w:szCs w:val="22"/>
                <w:lang w:val="en-US" w:eastAsia="zh-CN"/>
              </w:rPr>
              <w:t>体系</w:t>
            </w:r>
            <w:r>
              <w:rPr>
                <w:rFonts w:hint="eastAsia" w:ascii="宋体" w:hAnsi="宋体" w:cs="宋体"/>
                <w:color w:val="000000"/>
                <w:sz w:val="22"/>
                <w:szCs w:val="22"/>
              </w:rPr>
              <w:t>运行情况</w:t>
            </w:r>
            <w:r>
              <w:rPr>
                <w:rFonts w:hint="eastAsia" w:ascii="宋体" w:hAnsi="宋体" w:cs="宋体"/>
                <w:color w:val="000000"/>
                <w:sz w:val="22"/>
                <w:szCs w:val="22"/>
                <w:lang w:val="en-US" w:eastAsia="zh-CN"/>
              </w:rPr>
              <w:t>总结，包括</w:t>
            </w:r>
            <w:r>
              <w:rPr>
                <w:sz w:val="20"/>
              </w:rPr>
              <w:t>石墨复合接地体和铜覆钢接地极</w:t>
            </w:r>
            <w:r>
              <w:rPr>
                <w:rFonts w:hint="eastAsia"/>
                <w:sz w:val="20"/>
                <w:lang w:val="en-US" w:eastAsia="zh-CN"/>
              </w:rPr>
              <w:t>两类产品质量基情况及</w:t>
            </w:r>
            <w:r>
              <w:rPr>
                <w:sz w:val="20"/>
              </w:rPr>
              <w:t>相关的职业健康安全管理活动</w:t>
            </w:r>
            <w:r>
              <w:rPr>
                <w:rFonts w:hint="eastAsia" w:ascii="宋体" w:hAnsi="宋体" w:cs="宋体"/>
                <w:color w:val="000000"/>
                <w:sz w:val="22"/>
                <w:szCs w:val="22"/>
              </w:rPr>
              <w:t>。</w:t>
            </w:r>
          </w:p>
          <w:p>
            <w:pPr>
              <w:pStyle w:val="2"/>
              <w:numPr>
                <w:ilvl w:val="0"/>
                <w:numId w:val="0"/>
              </w:numPr>
              <w:ind w:left="0" w:leftChars="0" w:firstLine="420" w:firstLineChars="0"/>
              <w:rPr>
                <w:rFonts w:hint="default" w:ascii="宋体" w:hAnsi="宋体" w:eastAsia="宋体" w:cs="宋体"/>
                <w:color w:val="000000"/>
                <w:sz w:val="22"/>
                <w:szCs w:val="22"/>
                <w:lang w:val="en-US" w:eastAsia="zh-CN"/>
              </w:rPr>
            </w:pPr>
            <w:r>
              <w:rPr>
                <w:rFonts w:ascii="宋体" w:hAnsi="宋体" w:cs="宋体"/>
                <w:color w:val="000000"/>
                <w:sz w:val="22"/>
                <w:szCs w:val="22"/>
              </w:rPr>
              <w:t>3</w:t>
            </w:r>
            <w:r>
              <w:rPr>
                <w:rFonts w:hint="eastAsia" w:ascii="宋体" w:hAnsi="宋体" w:cs="宋体"/>
                <w:color w:val="000000"/>
                <w:sz w:val="22"/>
                <w:szCs w:val="22"/>
              </w:rPr>
              <w:t>）</w:t>
            </w:r>
            <w:r>
              <w:rPr>
                <w:rFonts w:hint="eastAsia" w:ascii="宋体" w:hAnsi="宋体" w:cs="宋体"/>
                <w:color w:val="000000"/>
                <w:sz w:val="22"/>
                <w:szCs w:val="22"/>
                <w:lang w:val="en-US" w:eastAsia="zh-CN"/>
              </w:rPr>
              <w:t>有管理评审实施记录：提供会议签到、会议记录，</w:t>
            </w:r>
            <w:r>
              <w:rPr>
                <w:rFonts w:hint="eastAsia" w:ascii="宋体" w:hAnsi="宋体" w:cs="宋体"/>
                <w:color w:val="000000"/>
                <w:sz w:val="22"/>
                <w:szCs w:val="22"/>
              </w:rPr>
              <w:t>主持人：公司</w:t>
            </w:r>
            <w:r>
              <w:rPr>
                <w:rFonts w:hint="eastAsia" w:ascii="宋体" w:hAnsi="宋体" w:cs="宋体"/>
                <w:color w:val="000000"/>
                <w:sz w:val="22"/>
                <w:szCs w:val="22"/>
                <w:lang w:eastAsia="zh-CN"/>
              </w:rPr>
              <w:t>总经理，</w:t>
            </w:r>
            <w:r>
              <w:rPr>
                <w:rFonts w:hint="eastAsia" w:ascii="宋体" w:hAnsi="宋体" w:cs="宋体"/>
                <w:color w:val="000000"/>
                <w:sz w:val="22"/>
                <w:szCs w:val="22"/>
                <w:lang w:val="en-US" w:eastAsia="zh-CN"/>
              </w:rPr>
              <w:t>按期实施；</w:t>
            </w:r>
          </w:p>
          <w:p>
            <w:pPr>
              <w:numPr>
                <w:ilvl w:val="0"/>
                <w:numId w:val="0"/>
              </w:numPr>
              <w:tabs>
                <w:tab w:val="left" w:pos="312"/>
              </w:tabs>
              <w:ind w:firstLine="440" w:firstLineChars="200"/>
              <w:jc w:val="left"/>
              <w:rPr>
                <w:rFonts w:hint="eastAsia" w:ascii="宋体" w:hAnsi="宋体" w:cs="宋体"/>
                <w:color w:val="000000"/>
                <w:sz w:val="22"/>
                <w:szCs w:val="22"/>
              </w:rPr>
            </w:pPr>
            <w:r>
              <w:rPr>
                <w:rFonts w:hint="eastAsia" w:ascii="宋体" w:hAnsi="宋体" w:cs="宋体"/>
                <w:color w:val="000000"/>
                <w:sz w:val="22"/>
                <w:szCs w:val="22"/>
                <w:lang w:val="en-US" w:eastAsia="zh-CN"/>
              </w:rPr>
              <w:t>4</w:t>
            </w:r>
            <w:r>
              <w:rPr>
                <w:rFonts w:hint="eastAsia" w:ascii="宋体" w:hAnsi="宋体" w:cs="宋体"/>
                <w:color w:val="000000"/>
                <w:sz w:val="22"/>
                <w:szCs w:val="22"/>
              </w:rPr>
              <w:t>）</w:t>
            </w:r>
            <w:r>
              <w:rPr>
                <w:rFonts w:hint="eastAsia" w:ascii="宋体" w:hAnsi="宋体" w:cs="宋体"/>
                <w:color w:val="000000"/>
                <w:sz w:val="22"/>
                <w:szCs w:val="22"/>
                <w:lang w:val="en-US" w:eastAsia="zh-CN"/>
              </w:rPr>
              <w:t>管理评审形成《管理评审报告》，有综述，有</w:t>
            </w:r>
            <w:r>
              <w:rPr>
                <w:rFonts w:hint="eastAsia" w:ascii="宋体" w:hAnsi="宋体" w:cs="宋体"/>
                <w:color w:val="000000"/>
                <w:sz w:val="22"/>
                <w:szCs w:val="22"/>
              </w:rPr>
              <w:t>评审结论：建立了符合本公司实际的管理体系，体系是持续适宜的、充分的和有效的。基本能够得到实施和保持。方针、目标和指标是适应的，正在通过体系的运行不断实现。通过本次管理评审，确保了方针、目标和管理体系持续的适宜性、充分性和有效性，达到了持续改进的目的，为下一步外审工作奠定了良好的基础。</w:t>
            </w:r>
          </w:p>
          <w:p>
            <w:pPr>
              <w:pStyle w:val="2"/>
              <w:rPr>
                <w:rFonts w:hint="eastAsia" w:ascii="宋体" w:hAnsi="宋体" w:cs="宋体"/>
                <w:color w:val="000000"/>
                <w:sz w:val="22"/>
                <w:szCs w:val="22"/>
              </w:rPr>
            </w:pPr>
            <w:r>
              <w:drawing>
                <wp:anchor distT="0" distB="0" distL="114300" distR="114300" simplePos="0" relativeHeight="251659264" behindDoc="0" locked="0" layoutInCell="1" allowOverlap="1">
                  <wp:simplePos x="0" y="0"/>
                  <wp:positionH relativeFrom="column">
                    <wp:posOffset>1688465</wp:posOffset>
                  </wp:positionH>
                  <wp:positionV relativeFrom="paragraph">
                    <wp:posOffset>46355</wp:posOffset>
                  </wp:positionV>
                  <wp:extent cx="2369185" cy="2201545"/>
                  <wp:effectExtent l="0" t="0" r="12065" b="825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2369185" cy="2201545"/>
                          </a:xfrm>
                          <a:prstGeom prst="rect">
                            <a:avLst/>
                          </a:prstGeom>
                          <a:noFill/>
                          <a:ln>
                            <a:noFill/>
                          </a:ln>
                        </pic:spPr>
                      </pic:pic>
                    </a:graphicData>
                  </a:graphic>
                </wp:anchor>
              </w:drawing>
            </w:r>
          </w:p>
          <w:p>
            <w:pPr>
              <w:pStyle w:val="2"/>
              <w:rPr>
                <w:rFonts w:hint="eastAsia" w:ascii="宋体" w:hAnsi="宋体" w:cs="宋体"/>
                <w:color w:val="000000"/>
                <w:sz w:val="22"/>
                <w:szCs w:val="22"/>
              </w:rPr>
            </w:pPr>
          </w:p>
          <w:p>
            <w:pPr>
              <w:pStyle w:val="2"/>
              <w:rPr>
                <w:rFonts w:hint="eastAsia" w:ascii="宋体" w:hAnsi="宋体" w:cs="宋体"/>
                <w:color w:val="000000"/>
                <w:sz w:val="22"/>
                <w:szCs w:val="22"/>
              </w:rPr>
            </w:pPr>
          </w:p>
          <w:p>
            <w:pPr>
              <w:pStyle w:val="2"/>
              <w:rPr>
                <w:rFonts w:hint="eastAsia" w:ascii="宋体" w:hAnsi="宋体" w:cs="宋体"/>
                <w:color w:val="000000"/>
                <w:sz w:val="22"/>
                <w:szCs w:val="22"/>
              </w:rPr>
            </w:pPr>
          </w:p>
          <w:p>
            <w:pPr>
              <w:pStyle w:val="2"/>
              <w:rPr>
                <w:rFonts w:hint="eastAsia" w:ascii="宋体" w:hAnsi="宋体" w:cs="宋体"/>
                <w:color w:val="000000"/>
                <w:sz w:val="22"/>
                <w:szCs w:val="22"/>
              </w:rPr>
            </w:pPr>
          </w:p>
          <w:p>
            <w:pPr>
              <w:pStyle w:val="2"/>
              <w:rPr>
                <w:rFonts w:hint="eastAsia" w:ascii="宋体" w:hAnsi="宋体" w:cs="宋体"/>
                <w:color w:val="000000"/>
                <w:sz w:val="22"/>
                <w:szCs w:val="22"/>
              </w:rPr>
            </w:pPr>
          </w:p>
          <w:p>
            <w:pPr>
              <w:pStyle w:val="2"/>
              <w:rPr>
                <w:rFonts w:hint="eastAsia" w:ascii="宋体" w:hAnsi="宋体" w:cs="宋体"/>
                <w:color w:val="000000"/>
                <w:sz w:val="22"/>
                <w:szCs w:val="22"/>
              </w:rPr>
            </w:pPr>
          </w:p>
          <w:p>
            <w:pPr>
              <w:pStyle w:val="2"/>
              <w:rPr>
                <w:rFonts w:hint="eastAsia" w:ascii="宋体" w:hAnsi="宋体" w:cs="宋体"/>
                <w:color w:val="000000"/>
                <w:sz w:val="22"/>
                <w:szCs w:val="22"/>
              </w:rPr>
            </w:pPr>
          </w:p>
          <w:p>
            <w:pPr>
              <w:pStyle w:val="2"/>
              <w:rPr>
                <w:rFonts w:hint="eastAsia" w:ascii="宋体" w:hAnsi="宋体" w:cs="宋体"/>
                <w:color w:val="000000"/>
                <w:sz w:val="22"/>
                <w:szCs w:val="22"/>
              </w:rPr>
            </w:pPr>
          </w:p>
          <w:p>
            <w:pPr>
              <w:pStyle w:val="2"/>
              <w:rPr>
                <w:rFonts w:hint="eastAsia" w:ascii="宋体" w:hAnsi="宋体" w:cs="宋体"/>
                <w:color w:val="000000"/>
                <w:sz w:val="22"/>
                <w:szCs w:val="22"/>
                <w:lang w:val="en-US" w:eastAsia="zh-CN"/>
              </w:rPr>
            </w:pPr>
          </w:p>
          <w:p>
            <w:pPr>
              <w:numPr>
                <w:ilvl w:val="0"/>
                <w:numId w:val="0"/>
              </w:numPr>
              <w:tabs>
                <w:tab w:val="left" w:pos="312"/>
              </w:tabs>
              <w:ind w:firstLine="440" w:firstLineChars="200"/>
              <w:jc w:val="left"/>
              <w:rPr>
                <w:rFonts w:ascii="宋体" w:hAnsi="宋体" w:cs="宋体"/>
                <w:color w:val="000000"/>
                <w:sz w:val="22"/>
                <w:szCs w:val="22"/>
              </w:rPr>
            </w:pP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pPr>
            <w:r>
              <w:rPr>
                <w:rFonts w:hint="eastAsia" w:ascii="宋体" w:hAnsi="宋体" w:cs="宋体"/>
                <w:color w:val="000000"/>
                <w:sz w:val="22"/>
                <w:szCs w:val="22"/>
              </w:rPr>
              <w:t>改进——总则</w:t>
            </w:r>
          </w:p>
        </w:tc>
        <w:tc>
          <w:tcPr>
            <w:tcW w:w="1026" w:type="dxa"/>
          </w:tcPr>
          <w:p>
            <w:pPr>
              <w:jc w:val="left"/>
            </w:pPr>
            <w:r>
              <w:rPr>
                <w:rFonts w:hint="eastAsia" w:ascii="宋体" w:hAnsi="宋体" w:cs="宋体"/>
                <w:color w:val="000000"/>
                <w:sz w:val="22"/>
                <w:szCs w:val="22"/>
              </w:rPr>
              <w:t>10.1</w:t>
            </w:r>
          </w:p>
        </w:tc>
        <w:tc>
          <w:tcPr>
            <w:tcW w:w="10429" w:type="dxa"/>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公司管理体系方针、目标指标、内部审核、管理评审、不合格和纠正措施各项要求得到落实，相关管理活动得到有效开展，体现了持续改进的要求及改进销售服务活动来满足未来的需要和期望。</w:t>
            </w:r>
          </w:p>
          <w:p>
            <w:pPr>
              <w:ind w:firstLine="440" w:firstLineChars="200"/>
              <w:jc w:val="left"/>
              <w:rPr>
                <w:rFonts w:ascii="宋体" w:hAnsi="宋体" w:cs="宋体"/>
                <w:color w:val="000000"/>
                <w:sz w:val="22"/>
                <w:szCs w:val="22"/>
              </w:rPr>
            </w:pPr>
            <w:r>
              <w:rPr>
                <w:rFonts w:hint="eastAsia" w:ascii="宋体" w:hAnsi="宋体" w:cs="宋体"/>
                <w:color w:val="000000"/>
                <w:sz w:val="22"/>
                <w:szCs w:val="22"/>
              </w:rPr>
              <w:t>公司考虑了分析、评价结果及管理评审的输出，并确定了对存在应关注的持续改进的需求和机遇。</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120" w:type="dxa"/>
          </w:tcPr>
          <w:p>
            <w:r>
              <w:rPr>
                <w:rFonts w:hint="eastAsia" w:ascii="宋体" w:hAnsi="宋体" w:cs="宋体"/>
                <w:szCs w:val="21"/>
              </w:rPr>
              <w:t>持续改进</w:t>
            </w:r>
          </w:p>
        </w:tc>
        <w:tc>
          <w:tcPr>
            <w:tcW w:w="1026" w:type="dxa"/>
          </w:tcPr>
          <w:p>
            <w:pPr>
              <w:jc w:val="left"/>
              <w:rPr>
                <w:szCs w:val="21"/>
              </w:rPr>
            </w:pPr>
            <w:r>
              <w:rPr>
                <w:rFonts w:hint="eastAsia" w:ascii="宋体" w:hAnsi="宋体" w:cs="宋体"/>
                <w:color w:val="000000"/>
                <w:sz w:val="22"/>
                <w:szCs w:val="22"/>
              </w:rPr>
              <w:t>10.3</w:t>
            </w:r>
          </w:p>
          <w:p/>
        </w:tc>
        <w:tc>
          <w:tcPr>
            <w:tcW w:w="10429" w:type="dxa"/>
            <w:vAlign w:val="center"/>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公司利用管理方针、目标、内审和外审、数据分析、纠正和预防措施以及管理评审，识别任何改进的机会，持续改进管理体系的适宜性、充分性和有效性。</w:t>
            </w:r>
          </w:p>
          <w:p>
            <w:pPr>
              <w:ind w:firstLine="440" w:firstLineChars="200"/>
              <w:jc w:val="left"/>
              <w:rPr>
                <w:rFonts w:ascii="宋体" w:hAnsi="宋体" w:cs="宋体"/>
                <w:color w:val="000000"/>
                <w:sz w:val="22"/>
                <w:szCs w:val="22"/>
              </w:rPr>
            </w:pPr>
            <w:r>
              <w:rPr>
                <w:rFonts w:hint="eastAsia" w:ascii="宋体" w:hAnsi="宋体" w:cs="宋体"/>
                <w:color w:val="000000"/>
                <w:sz w:val="22"/>
                <w:szCs w:val="22"/>
              </w:rPr>
              <w:t>公司组织确定并选择改进机会，采取了必要措施，以满足顾客要求和增强顾客满意。</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120" w:type="dxa"/>
          </w:tcPr>
          <w:p>
            <w:pPr>
              <w:rPr>
                <w:rFonts w:ascii="宋体" w:hAnsi="宋体" w:cs="宋体"/>
                <w:color w:val="000000"/>
                <w:sz w:val="22"/>
                <w:szCs w:val="22"/>
              </w:rPr>
            </w:pPr>
            <w:r>
              <w:rPr>
                <w:rFonts w:hint="eastAsia" w:ascii="宋体" w:hAnsi="宋体" w:cs="宋体"/>
                <w:color w:val="000000"/>
                <w:sz w:val="22"/>
                <w:szCs w:val="22"/>
              </w:rPr>
              <w:t>资质验证</w:t>
            </w:r>
          </w:p>
        </w:tc>
        <w:tc>
          <w:tcPr>
            <w:tcW w:w="1026" w:type="dxa"/>
          </w:tcPr>
          <w:p>
            <w:pPr>
              <w:ind w:firstLine="880" w:firstLineChars="400"/>
              <w:jc w:val="left"/>
              <w:rPr>
                <w:rFonts w:ascii="宋体" w:hAnsi="宋体" w:cs="宋体"/>
                <w:color w:val="000000"/>
                <w:sz w:val="22"/>
                <w:szCs w:val="22"/>
              </w:rPr>
            </w:pPr>
          </w:p>
        </w:tc>
        <w:tc>
          <w:tcPr>
            <w:tcW w:w="10429" w:type="dxa"/>
            <w:vAlign w:val="center"/>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公司提供的营业执照在有效期内，</w:t>
            </w:r>
            <w:r>
              <w:rPr>
                <w:rFonts w:hint="eastAsia" w:ascii="宋体" w:hAnsi="宋体" w:cs="宋体"/>
                <w:color w:val="000000"/>
                <w:sz w:val="22"/>
                <w:szCs w:val="22"/>
                <w:lang w:val="en-US" w:eastAsia="zh-CN"/>
              </w:rPr>
              <w:t>包含</w:t>
            </w:r>
            <w:r>
              <w:rPr>
                <w:rFonts w:hint="eastAsia" w:ascii="宋体" w:hAnsi="宋体" w:cs="宋体"/>
                <w:color w:val="000000"/>
                <w:sz w:val="22"/>
                <w:szCs w:val="22"/>
              </w:rPr>
              <w:t>认证范围。</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20" w:type="dxa"/>
          </w:tcPr>
          <w:p>
            <w:pPr>
              <w:jc w:val="left"/>
              <w:rPr>
                <w:rFonts w:ascii="宋体" w:hAnsi="宋体" w:cs="宋体"/>
                <w:color w:val="000000"/>
                <w:sz w:val="22"/>
                <w:szCs w:val="22"/>
              </w:rPr>
            </w:pPr>
            <w:r>
              <w:rPr>
                <w:rFonts w:hint="eastAsia" w:ascii="宋体" w:hAnsi="宋体" w:cs="宋体"/>
                <w:color w:val="000000"/>
                <w:sz w:val="22"/>
                <w:szCs w:val="22"/>
              </w:rPr>
              <w:t>事故</w:t>
            </w:r>
          </w:p>
        </w:tc>
        <w:tc>
          <w:tcPr>
            <w:tcW w:w="1026" w:type="dxa"/>
          </w:tcPr>
          <w:p>
            <w:pPr>
              <w:ind w:firstLine="880" w:firstLineChars="400"/>
              <w:jc w:val="left"/>
              <w:rPr>
                <w:rFonts w:ascii="宋体" w:hAnsi="宋体" w:cs="宋体"/>
                <w:color w:val="000000"/>
                <w:sz w:val="22"/>
                <w:szCs w:val="22"/>
              </w:rPr>
            </w:pPr>
          </w:p>
        </w:tc>
        <w:tc>
          <w:tcPr>
            <w:tcW w:w="10429" w:type="dxa"/>
            <w:vAlign w:val="center"/>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公司近年来</w:t>
            </w:r>
            <w:r>
              <w:rPr>
                <w:rFonts w:hint="eastAsia" w:ascii="宋体" w:hAnsi="宋体" w:cs="宋体"/>
                <w:color w:val="000000"/>
                <w:sz w:val="22"/>
                <w:szCs w:val="22"/>
                <w:lang w:val="en-US" w:eastAsia="zh-CN"/>
              </w:rPr>
              <w:t>在体系范围运行内，</w:t>
            </w:r>
            <w:r>
              <w:rPr>
                <w:rFonts w:hint="eastAsia" w:ascii="宋体" w:hAnsi="宋体" w:cs="宋体"/>
                <w:color w:val="000000"/>
                <w:sz w:val="22"/>
                <w:szCs w:val="22"/>
              </w:rPr>
              <w:t>未发生事故</w:t>
            </w:r>
            <w:r>
              <w:rPr>
                <w:rFonts w:hint="eastAsia" w:ascii="宋体" w:hAnsi="宋体" w:cs="宋体"/>
                <w:color w:val="000000"/>
                <w:sz w:val="22"/>
                <w:szCs w:val="22"/>
                <w:lang w:eastAsia="zh-CN"/>
              </w:rPr>
              <w:t>、</w:t>
            </w:r>
            <w:r>
              <w:rPr>
                <w:rFonts w:hint="eastAsia" w:ascii="宋体" w:hAnsi="宋体" w:cs="宋体"/>
                <w:color w:val="000000"/>
                <w:sz w:val="22"/>
                <w:szCs w:val="22"/>
              </w:rPr>
              <w:t>事件。</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20" w:type="dxa"/>
          </w:tcPr>
          <w:p>
            <w:pPr>
              <w:jc w:val="left"/>
              <w:rPr>
                <w:rFonts w:ascii="宋体" w:hAnsi="宋体" w:cs="宋体"/>
                <w:color w:val="000000"/>
                <w:sz w:val="22"/>
                <w:szCs w:val="22"/>
              </w:rPr>
            </w:pPr>
            <w:r>
              <w:rPr>
                <w:rFonts w:hint="eastAsia" w:ascii="宋体" w:hAnsi="宋体" w:cs="宋体"/>
                <w:color w:val="000000"/>
                <w:sz w:val="22"/>
                <w:szCs w:val="22"/>
              </w:rPr>
              <w:t>顾客满意、相关方投诉处理</w:t>
            </w:r>
          </w:p>
        </w:tc>
        <w:tc>
          <w:tcPr>
            <w:tcW w:w="1026" w:type="dxa"/>
          </w:tcPr>
          <w:p>
            <w:pPr>
              <w:ind w:firstLine="880" w:firstLineChars="400"/>
              <w:jc w:val="left"/>
              <w:rPr>
                <w:rFonts w:ascii="宋体" w:hAnsi="宋体" w:cs="宋体"/>
                <w:color w:val="000000"/>
                <w:sz w:val="22"/>
                <w:szCs w:val="22"/>
              </w:rPr>
            </w:pPr>
          </w:p>
        </w:tc>
        <w:tc>
          <w:tcPr>
            <w:tcW w:w="10429" w:type="dxa"/>
            <w:vAlign w:val="center"/>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近年来未发生顾客及相关方投诉情况，日常顾客反馈意见或建议已及时处理。</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0" w:type="dxa"/>
          </w:tcPr>
          <w:p>
            <w:pPr>
              <w:rPr>
                <w:rFonts w:ascii="宋体" w:hAnsi="宋体" w:cs="宋体"/>
                <w:color w:val="000000"/>
                <w:sz w:val="22"/>
                <w:szCs w:val="22"/>
              </w:rPr>
            </w:pPr>
            <w:r>
              <w:rPr>
                <w:rFonts w:hint="eastAsia" w:ascii="宋体" w:hAnsi="宋体" w:cs="宋体"/>
                <w:color w:val="000000"/>
                <w:sz w:val="22"/>
                <w:szCs w:val="22"/>
              </w:rPr>
              <w:t>主管部门抽查情况</w:t>
            </w:r>
          </w:p>
        </w:tc>
        <w:tc>
          <w:tcPr>
            <w:tcW w:w="1026" w:type="dxa"/>
          </w:tcPr>
          <w:p>
            <w:pPr>
              <w:ind w:firstLine="880" w:firstLineChars="400"/>
              <w:jc w:val="left"/>
              <w:rPr>
                <w:rFonts w:ascii="宋体" w:hAnsi="宋体" w:cs="宋体"/>
                <w:color w:val="000000"/>
                <w:sz w:val="22"/>
                <w:szCs w:val="22"/>
              </w:rPr>
            </w:pPr>
          </w:p>
        </w:tc>
        <w:tc>
          <w:tcPr>
            <w:tcW w:w="10429" w:type="dxa"/>
            <w:vAlign w:val="center"/>
          </w:tcPr>
          <w:p>
            <w:pPr>
              <w:ind w:firstLine="440" w:firstLineChars="200"/>
              <w:jc w:val="left"/>
              <w:rPr>
                <w:rFonts w:hint="default" w:ascii="宋体" w:hAnsi="宋体" w:eastAsia="宋体" w:cs="宋体"/>
                <w:color w:val="000000"/>
                <w:sz w:val="22"/>
                <w:szCs w:val="22"/>
                <w:lang w:val="en-US" w:eastAsia="zh-CN"/>
              </w:rPr>
            </w:pPr>
            <w:r>
              <w:rPr>
                <w:rFonts w:hint="eastAsia" w:ascii="宋体" w:hAnsi="宋体" w:cs="宋体"/>
                <w:color w:val="000000"/>
                <w:sz w:val="22"/>
                <w:szCs w:val="22"/>
              </w:rPr>
              <w:t>上级主管部门监督抽查</w:t>
            </w:r>
            <w:r>
              <w:rPr>
                <w:rFonts w:hint="eastAsia" w:ascii="宋体" w:hAnsi="宋体" w:cs="宋体"/>
                <w:color w:val="000000"/>
                <w:sz w:val="22"/>
                <w:szCs w:val="22"/>
                <w:lang w:val="en-US" w:eastAsia="zh-CN"/>
              </w:rPr>
              <w:t>无严重不合格</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0" w:type="dxa"/>
          </w:tcPr>
          <w:p>
            <w:pPr>
              <w:rPr>
                <w:rFonts w:ascii="宋体" w:hAnsi="宋体" w:cs="宋体"/>
                <w:color w:val="000000"/>
                <w:sz w:val="22"/>
                <w:szCs w:val="22"/>
              </w:rPr>
            </w:pPr>
            <w:r>
              <w:rPr>
                <w:rFonts w:hint="eastAsia" w:ascii="宋体" w:hAnsi="宋体" w:cs="宋体"/>
                <w:color w:val="000000"/>
                <w:sz w:val="22"/>
                <w:szCs w:val="22"/>
              </w:rPr>
              <w:t>标准、规范执行、遵纪守法情况</w:t>
            </w:r>
          </w:p>
        </w:tc>
        <w:tc>
          <w:tcPr>
            <w:tcW w:w="1026" w:type="dxa"/>
          </w:tcPr>
          <w:p>
            <w:pPr>
              <w:ind w:firstLine="880" w:firstLineChars="400"/>
              <w:jc w:val="left"/>
              <w:rPr>
                <w:rFonts w:ascii="宋体" w:hAnsi="宋体" w:cs="宋体"/>
                <w:color w:val="000000"/>
                <w:sz w:val="22"/>
                <w:szCs w:val="22"/>
              </w:rPr>
            </w:pPr>
          </w:p>
        </w:tc>
        <w:tc>
          <w:tcPr>
            <w:tcW w:w="10429" w:type="dxa"/>
            <w:vAlign w:val="center"/>
          </w:tcPr>
          <w:p>
            <w:pPr>
              <w:ind w:firstLine="440" w:firstLineChars="200"/>
              <w:jc w:val="left"/>
              <w:rPr>
                <w:rFonts w:ascii="宋体" w:hAnsi="宋体" w:cs="宋体"/>
                <w:color w:val="000000"/>
                <w:sz w:val="22"/>
                <w:szCs w:val="22"/>
              </w:rPr>
            </w:pPr>
            <w:r>
              <w:rPr>
                <w:rFonts w:hint="eastAsia" w:ascii="宋体" w:hAnsi="宋体" w:cs="宋体"/>
                <w:color w:val="000000"/>
                <w:sz w:val="22"/>
                <w:szCs w:val="22"/>
              </w:rPr>
              <w:t>目前公司经营过程中没有发生违反适用法律法规及其他要求的情况。</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0" w:type="dxa"/>
          </w:tcPr>
          <w:p>
            <w:pPr>
              <w:rPr>
                <w:rFonts w:ascii="宋体" w:hAnsi="宋体" w:cs="宋体"/>
                <w:color w:val="000000"/>
                <w:sz w:val="22"/>
                <w:szCs w:val="22"/>
              </w:rPr>
            </w:pPr>
            <w:r>
              <w:rPr>
                <w:rFonts w:hint="eastAsia" w:ascii="宋体" w:hAnsi="宋体" w:cs="宋体"/>
                <w:color w:val="000000"/>
                <w:sz w:val="22"/>
                <w:szCs w:val="22"/>
              </w:rPr>
              <w:t>问题的验证</w:t>
            </w:r>
          </w:p>
        </w:tc>
        <w:tc>
          <w:tcPr>
            <w:tcW w:w="1026" w:type="dxa"/>
          </w:tcPr>
          <w:p>
            <w:pPr>
              <w:ind w:firstLine="880" w:firstLineChars="400"/>
              <w:jc w:val="left"/>
              <w:rPr>
                <w:rFonts w:ascii="宋体" w:hAnsi="宋体" w:cs="宋体"/>
                <w:color w:val="000000"/>
                <w:sz w:val="22"/>
                <w:szCs w:val="22"/>
              </w:rPr>
            </w:pPr>
          </w:p>
        </w:tc>
        <w:tc>
          <w:tcPr>
            <w:tcW w:w="10429" w:type="dxa"/>
            <w:vAlign w:val="center"/>
          </w:tcPr>
          <w:p>
            <w:pPr>
              <w:ind w:firstLine="440" w:firstLineChars="200"/>
              <w:jc w:val="left"/>
              <w:rPr>
                <w:rFonts w:ascii="宋体" w:hAnsi="宋体" w:cs="宋体"/>
                <w:color w:val="000000"/>
                <w:sz w:val="22"/>
                <w:szCs w:val="22"/>
              </w:rPr>
            </w:pPr>
            <w:r>
              <w:rPr>
                <w:rFonts w:hint="eastAsia" w:ascii="宋体" w:hAnsi="宋体" w:cs="宋体"/>
                <w:color w:val="000000"/>
                <w:sz w:val="22"/>
                <w:szCs w:val="22"/>
                <w:highlight w:val="none"/>
              </w:rPr>
              <w:t>上次审核提出问题项，已</w:t>
            </w:r>
            <w:r>
              <w:rPr>
                <w:rFonts w:hint="eastAsia" w:ascii="宋体" w:hAnsi="宋体" w:cs="宋体"/>
                <w:color w:val="000000"/>
                <w:sz w:val="22"/>
                <w:szCs w:val="22"/>
              </w:rPr>
              <w:t>经得到有效整改。</w:t>
            </w:r>
          </w:p>
        </w:tc>
        <w:tc>
          <w:tcPr>
            <w:tcW w:w="1054" w:type="dxa"/>
          </w:tcPr>
          <w:p>
            <w:pPr>
              <w:jc w:val="center"/>
            </w:pPr>
            <w:r>
              <w:rPr>
                <w:rFonts w:hint="eastAsia"/>
              </w:rPr>
              <w:t>OK</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0" w:type="dxa"/>
            <w:vAlign w:val="top"/>
          </w:tcPr>
          <w:p>
            <w:pPr>
              <w:jc w:val="left"/>
              <w:rPr>
                <w:rFonts w:ascii="宋体" w:hAnsi="宋体" w:eastAsia="宋体" w:cs="宋体"/>
                <w:color w:val="000000"/>
                <w:kern w:val="2"/>
                <w:sz w:val="22"/>
                <w:szCs w:val="22"/>
                <w:lang w:val="en-US" w:eastAsia="zh-CN" w:bidi="ar-SA"/>
              </w:rPr>
            </w:pPr>
            <w:r>
              <w:rPr>
                <w:rFonts w:hint="eastAsia" w:ascii="宋体" w:hAnsi="宋体" w:cs="宋体"/>
                <w:color w:val="000000"/>
                <w:sz w:val="22"/>
                <w:szCs w:val="22"/>
              </w:rPr>
              <w:t>变更</w:t>
            </w:r>
          </w:p>
        </w:tc>
        <w:tc>
          <w:tcPr>
            <w:tcW w:w="1026" w:type="dxa"/>
            <w:vAlign w:val="top"/>
          </w:tcPr>
          <w:p>
            <w:pPr>
              <w:ind w:firstLine="880" w:firstLineChars="400"/>
              <w:jc w:val="left"/>
              <w:rPr>
                <w:rFonts w:ascii="宋体" w:hAnsi="宋体" w:eastAsia="宋体" w:cs="宋体"/>
                <w:color w:val="000000"/>
                <w:kern w:val="2"/>
                <w:sz w:val="22"/>
                <w:szCs w:val="22"/>
                <w:lang w:val="en-US" w:eastAsia="zh-CN" w:bidi="ar-SA"/>
              </w:rPr>
            </w:pPr>
          </w:p>
        </w:tc>
        <w:tc>
          <w:tcPr>
            <w:tcW w:w="10429" w:type="dxa"/>
            <w:vAlign w:val="center"/>
          </w:tcPr>
          <w:p>
            <w:pPr>
              <w:ind w:firstLine="440" w:firstLineChars="200"/>
              <w:jc w:val="left"/>
              <w:rPr>
                <w:rFonts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管理</w:t>
            </w:r>
            <w:r>
              <w:rPr>
                <w:rFonts w:hint="eastAsia" w:ascii="宋体" w:hAnsi="宋体" w:cs="宋体"/>
                <w:color w:val="000000"/>
                <w:sz w:val="22"/>
                <w:szCs w:val="22"/>
              </w:rPr>
              <w:t>体系</w:t>
            </w:r>
            <w:r>
              <w:rPr>
                <w:rFonts w:hint="eastAsia" w:ascii="宋体" w:hAnsi="宋体" w:cs="宋体"/>
                <w:color w:val="000000"/>
                <w:sz w:val="22"/>
                <w:szCs w:val="22"/>
                <w:lang w:val="en-US" w:eastAsia="zh-CN"/>
              </w:rPr>
              <w:t>新增范围：包括</w:t>
            </w:r>
            <w:r>
              <w:rPr>
                <w:sz w:val="20"/>
              </w:rPr>
              <w:t>石墨复合接地体和铜覆钢接地极</w:t>
            </w:r>
            <w:r>
              <w:rPr>
                <w:rFonts w:hint="eastAsia"/>
                <w:sz w:val="20"/>
                <w:lang w:val="en-US" w:eastAsia="zh-CN"/>
              </w:rPr>
              <w:t>两类产品生产和销售及</w:t>
            </w:r>
            <w:r>
              <w:rPr>
                <w:sz w:val="20"/>
              </w:rPr>
              <w:t>相关的职业健康安全管理活动</w:t>
            </w:r>
            <w:r>
              <w:rPr>
                <w:rFonts w:hint="eastAsia" w:ascii="宋体" w:hAnsi="宋体" w:cs="宋体"/>
                <w:color w:val="000000"/>
                <w:sz w:val="22"/>
                <w:szCs w:val="22"/>
              </w:rPr>
              <w:t>。</w:t>
            </w:r>
          </w:p>
        </w:tc>
        <w:tc>
          <w:tcPr>
            <w:tcW w:w="1054" w:type="dxa"/>
            <w:vAlign w:val="top"/>
          </w:tcPr>
          <w:p>
            <w:pPr>
              <w:jc w:val="center"/>
              <w:rPr>
                <w:rFonts w:ascii="Times New Roman" w:hAnsi="Times New Roman" w:eastAsia="宋体" w:cs="Times New Roman"/>
                <w:kern w:val="2"/>
                <w:sz w:val="21"/>
                <w:lang w:val="en-US" w:eastAsia="zh-CN" w:bidi="ar-SA"/>
              </w:rPr>
            </w:pPr>
            <w:r>
              <w:rPr>
                <w:rFonts w:hint="eastAsia"/>
              </w:rPr>
              <w:t>OK</w:t>
            </w:r>
          </w:p>
        </w:tc>
      </w:tr>
    </w:tbl>
    <w:p>
      <w:pPr>
        <w:pStyle w:val="7"/>
        <w:spacing w:beforeLines="50" w:line="480" w:lineRule="auto"/>
        <w:ind w:firstLine="360" w:firstLineChars="200"/>
      </w:pPr>
      <w:r>
        <w:rPr>
          <w:rFonts w:hint="eastAsia"/>
        </w:rPr>
        <w:t>说明：不符合标注N。</w:t>
      </w:r>
    </w:p>
    <w:sectPr>
      <w:headerReference r:id="rId3" w:type="default"/>
      <w:footerReference r:id="rId4" w:type="default"/>
      <w:pgSz w:w="16838" w:h="11906" w:orient="landscape"/>
      <w:pgMar w:top="1418" w:right="1134" w:bottom="1418" w:left="1134" w:header="907"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EndPr>
      <w:rPr>
        <w:rFonts w:asciiTheme="minorEastAsia" w:hAnsiTheme="minorEastAsia" w:eastAsiaTheme="minorEastAsia"/>
      </w:rPr>
    </w:sdtEndPr>
    <w:sdtContent>
      <w:sdt>
        <w:sdtPr>
          <w:id w:val="171357217"/>
        </w:sdtPr>
        <w:sdtEndPr>
          <w:rPr>
            <w:rFonts w:asciiTheme="minorEastAsia" w:hAnsiTheme="minorEastAsia" w:eastAsiaTheme="minorEastAsia"/>
          </w:rPr>
        </w:sdtEndPr>
        <w:sdtContent>
          <w:p>
            <w:pPr>
              <w:pStyle w:val="7"/>
              <w:jc w:val="center"/>
              <w:rPr>
                <w:rFonts w:asciiTheme="minorEastAsia" w:hAnsiTheme="minorEastAsia" w:eastAsiaTheme="minorEastAsia"/>
              </w:rPr>
            </w:pPr>
            <w:r>
              <w:rPr>
                <w:rFonts w:asciiTheme="minorEastAsia" w:hAnsiTheme="minorEastAsia" w:eastAsiaTheme="minorEastAsia"/>
                <w:b/>
              </w:rPr>
              <w:fldChar w:fldCharType="begin"/>
            </w:r>
            <w:r>
              <w:rPr>
                <w:rFonts w:asciiTheme="minorEastAsia" w:hAnsiTheme="minorEastAsia" w:eastAsiaTheme="minorEastAsia"/>
                <w:b/>
              </w:rPr>
              <w:instrText xml:space="preserve">PAGE</w:instrText>
            </w:r>
            <w:r>
              <w:rPr>
                <w:rFonts w:asciiTheme="minorEastAsia" w:hAnsiTheme="minorEastAsia" w:eastAsiaTheme="minorEastAsia"/>
                <w:b/>
              </w:rPr>
              <w:fldChar w:fldCharType="separate"/>
            </w:r>
            <w:r>
              <w:rPr>
                <w:rFonts w:asciiTheme="minorEastAsia" w:hAnsiTheme="minorEastAsia" w:eastAsiaTheme="minorEastAsia"/>
                <w:b/>
              </w:rPr>
              <w:t>1</w:t>
            </w:r>
            <w:r>
              <w:rPr>
                <w:rFonts w:asciiTheme="minorEastAsia" w:hAnsiTheme="minorEastAsia" w:eastAsiaTheme="minorEastAsia"/>
                <w:b/>
              </w:rPr>
              <w:fldChar w:fldCharType="end"/>
            </w:r>
            <w:r>
              <w:rPr>
                <w:rFonts w:asciiTheme="minorEastAsia" w:hAnsiTheme="minorEastAsia" w:eastAsiaTheme="minorEastAsia"/>
                <w:lang w:val="zh-CN"/>
              </w:rPr>
              <w:t xml:space="preserve"> / </w:t>
            </w:r>
            <w:r>
              <w:rPr>
                <w:rFonts w:asciiTheme="minorEastAsia" w:hAnsiTheme="minorEastAsia" w:eastAsiaTheme="minorEastAsia"/>
                <w:b/>
              </w:rPr>
              <w:fldChar w:fldCharType="begin"/>
            </w:r>
            <w:r>
              <w:rPr>
                <w:rFonts w:asciiTheme="minorEastAsia" w:hAnsiTheme="minorEastAsia" w:eastAsiaTheme="minorEastAsia"/>
                <w:b/>
              </w:rPr>
              <w:instrText xml:space="preserve">NUMPAGES</w:instrText>
            </w:r>
            <w:r>
              <w:rPr>
                <w:rFonts w:asciiTheme="minorEastAsia" w:hAnsiTheme="minorEastAsia" w:eastAsiaTheme="minorEastAsia"/>
                <w:b/>
              </w:rPr>
              <w:fldChar w:fldCharType="separate"/>
            </w:r>
            <w:r>
              <w:rPr>
                <w:rFonts w:asciiTheme="minorEastAsia" w:hAnsiTheme="minorEastAsia" w:eastAsiaTheme="minorEastAsia"/>
                <w:b/>
              </w:rPr>
              <w:t>9</w:t>
            </w:r>
            <w:r>
              <w:rPr>
                <w:rFonts w:asciiTheme="minorEastAsia" w:hAnsiTheme="minorEastAsia" w:eastAsiaTheme="minorEastAsia"/>
                <w:b/>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line="320" w:lineRule="exact"/>
      <w:ind w:firstLine="720" w:firstLineChars="400"/>
      <w:jc w:val="left"/>
      <w:rPr>
        <w:rStyle w:val="15"/>
        <w:rFonts w:hint="default"/>
      </w:rPr>
    </w:pPr>
    <w:r>
      <w:drawing>
        <wp:anchor distT="0" distB="0" distL="114300" distR="114300" simplePos="0" relativeHeight="251661312" behindDoc="0" locked="0" layoutInCell="1" allowOverlap="1">
          <wp:simplePos x="0" y="0"/>
          <wp:positionH relativeFrom="column">
            <wp:posOffset>-110490</wp:posOffset>
          </wp:positionH>
          <wp:positionV relativeFrom="paragraph">
            <wp:posOffset>-185420</wp:posOffset>
          </wp:positionV>
          <wp:extent cx="485775" cy="485775"/>
          <wp:effectExtent l="0" t="0" r="9525" b="9525"/>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5"/>
        <w:rFonts w:hint="default"/>
      </w:rPr>
      <w:t>北京国标联合认证有限公司</w:t>
    </w:r>
  </w:p>
  <w:p>
    <w:pPr>
      <w:pStyle w:val="8"/>
      <w:pBdr>
        <w:bottom w:val="none" w:color="auto" w:sz="0" w:space="0"/>
      </w:pBdr>
      <w:spacing w:line="320" w:lineRule="exact"/>
      <w:ind w:firstLine="720" w:firstLineChars="400"/>
      <w:jc w:val="left"/>
    </w:pPr>
    <w:r>
      <w:pict>
        <v:shape id="文本框 1" o:spid="_x0000_s1026" o:spt="202" type="#_x0000_t202" style="position:absolute;left:0pt;margin-left:554.75pt;margin-top:2.2pt;height:20.2pt;width:172pt;z-index:251659264;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path/>
          <v:fill focussize="0,0"/>
          <v:stroke on="f" joinstyle="miter"/>
          <v:imagedata o:title=""/>
          <o:lock v:ext="edit"/>
          <v:textbox>
            <w:txbxContent>
              <w:p>
                <w:pPr>
                  <w:ind w:firstLine="1620" w:firstLineChars="900"/>
                  <w:rPr>
                    <w:sz w:val="18"/>
                    <w:szCs w:val="18"/>
                  </w:rPr>
                </w:pPr>
                <w:r>
                  <w:rPr>
                    <w:rFonts w:hint="eastAsia"/>
                    <w:sz w:val="18"/>
                    <w:szCs w:val="18"/>
                  </w:rPr>
                  <w:t>ISC-B-II-12(05版）</w:t>
                </w:r>
              </w:p>
              <w:p/>
            </w:txbxContent>
          </v:textbox>
        </v:shape>
      </w:pict>
    </w:r>
    <w:r>
      <w:rPr>
        <w:rStyle w:val="15"/>
        <w:rFonts w:hint="default"/>
        <w:w w:val="90"/>
      </w:rPr>
      <w:t xml:space="preserve">Beijing International Standard united Certification Co.,Ltd.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531BD"/>
    <w:multiLevelType w:val="singleLevel"/>
    <w:tmpl w:val="CF2531BD"/>
    <w:lvl w:ilvl="0" w:tentative="0">
      <w:start w:val="1"/>
      <w:numFmt w:val="decimal"/>
      <w:lvlText w:val="%1)"/>
      <w:lvlJc w:val="left"/>
      <w:pPr>
        <w:tabs>
          <w:tab w:val="left" w:pos="420"/>
        </w:tabs>
        <w:ind w:left="845" w:hanging="425"/>
      </w:pPr>
      <w:rPr>
        <w:rFonts w:hint="default"/>
      </w:rPr>
    </w:lvl>
  </w:abstractNum>
  <w:abstractNum w:abstractNumId="1">
    <w:nsid w:val="E573ABB5"/>
    <w:multiLevelType w:val="singleLevel"/>
    <w:tmpl w:val="E573ABB5"/>
    <w:lvl w:ilvl="0" w:tentative="0">
      <w:start w:val="2"/>
      <w:numFmt w:val="decimal"/>
      <w:suff w:val="nothing"/>
      <w:lvlText w:val="%1）"/>
      <w:lvlJc w:val="left"/>
    </w:lvl>
  </w:abstractNum>
  <w:abstractNum w:abstractNumId="2">
    <w:nsid w:val="0000003E"/>
    <w:multiLevelType w:val="multilevel"/>
    <w:tmpl w:val="0000003E"/>
    <w:lvl w:ilvl="0" w:tentative="0">
      <w:start w:val="1"/>
      <w:numFmt w:val="lowerLetter"/>
      <w:lvlText w:val="%1)"/>
      <w:lvlJc w:val="left"/>
      <w:pPr>
        <w:tabs>
          <w:tab w:val="left" w:pos="1904"/>
        </w:tabs>
        <w:ind w:left="190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VjOWY5MmIxZGI2NTJmOGI5Yzg2MzEwNzA4OWE1NDUifQ=="/>
  </w:docVars>
  <w:rsids>
    <w:rsidRoot w:val="001C4E11"/>
    <w:rsid w:val="000128A9"/>
    <w:rsid w:val="00017E5E"/>
    <w:rsid w:val="000C7CC1"/>
    <w:rsid w:val="00127ABB"/>
    <w:rsid w:val="0013035C"/>
    <w:rsid w:val="00155879"/>
    <w:rsid w:val="0017051F"/>
    <w:rsid w:val="001C4E11"/>
    <w:rsid w:val="00210973"/>
    <w:rsid w:val="00237030"/>
    <w:rsid w:val="002454C3"/>
    <w:rsid w:val="00246C61"/>
    <w:rsid w:val="00287916"/>
    <w:rsid w:val="002C7B73"/>
    <w:rsid w:val="002D3947"/>
    <w:rsid w:val="002D5226"/>
    <w:rsid w:val="002E5F39"/>
    <w:rsid w:val="002E7EC8"/>
    <w:rsid w:val="002F35C1"/>
    <w:rsid w:val="002F64CC"/>
    <w:rsid w:val="00300A56"/>
    <w:rsid w:val="003034F2"/>
    <w:rsid w:val="0030662B"/>
    <w:rsid w:val="0031218D"/>
    <w:rsid w:val="00324ABC"/>
    <w:rsid w:val="00425CF3"/>
    <w:rsid w:val="00434840"/>
    <w:rsid w:val="00452469"/>
    <w:rsid w:val="004653DB"/>
    <w:rsid w:val="0048522D"/>
    <w:rsid w:val="00495000"/>
    <w:rsid w:val="004D621A"/>
    <w:rsid w:val="004E26FA"/>
    <w:rsid w:val="00507C75"/>
    <w:rsid w:val="00507E5D"/>
    <w:rsid w:val="005264FF"/>
    <w:rsid w:val="00536912"/>
    <w:rsid w:val="00536CF1"/>
    <w:rsid w:val="00541DCC"/>
    <w:rsid w:val="00557A0F"/>
    <w:rsid w:val="0056166D"/>
    <w:rsid w:val="0058239F"/>
    <w:rsid w:val="005C5B90"/>
    <w:rsid w:val="005E33C4"/>
    <w:rsid w:val="005E3CF4"/>
    <w:rsid w:val="005F2DEA"/>
    <w:rsid w:val="00602F0A"/>
    <w:rsid w:val="006354D5"/>
    <w:rsid w:val="00663480"/>
    <w:rsid w:val="0067421A"/>
    <w:rsid w:val="00674E7F"/>
    <w:rsid w:val="00681366"/>
    <w:rsid w:val="006E1008"/>
    <w:rsid w:val="006E6E43"/>
    <w:rsid w:val="007177FF"/>
    <w:rsid w:val="00721532"/>
    <w:rsid w:val="00734709"/>
    <w:rsid w:val="00734B05"/>
    <w:rsid w:val="007B1CFC"/>
    <w:rsid w:val="007E04D6"/>
    <w:rsid w:val="007F1FA3"/>
    <w:rsid w:val="007F4889"/>
    <w:rsid w:val="00837CC4"/>
    <w:rsid w:val="00863027"/>
    <w:rsid w:val="0088026E"/>
    <w:rsid w:val="008868B7"/>
    <w:rsid w:val="008A0BA5"/>
    <w:rsid w:val="008B22F8"/>
    <w:rsid w:val="008B48A3"/>
    <w:rsid w:val="008B5985"/>
    <w:rsid w:val="008E0955"/>
    <w:rsid w:val="008F6003"/>
    <w:rsid w:val="008F6652"/>
    <w:rsid w:val="00946861"/>
    <w:rsid w:val="00951263"/>
    <w:rsid w:val="009812F9"/>
    <w:rsid w:val="009A0D0E"/>
    <w:rsid w:val="009A23B1"/>
    <w:rsid w:val="009A438D"/>
    <w:rsid w:val="009F0522"/>
    <w:rsid w:val="00A01B50"/>
    <w:rsid w:val="00A351B0"/>
    <w:rsid w:val="00A35606"/>
    <w:rsid w:val="00A523B9"/>
    <w:rsid w:val="00A60518"/>
    <w:rsid w:val="00BB7587"/>
    <w:rsid w:val="00C00230"/>
    <w:rsid w:val="00C308EC"/>
    <w:rsid w:val="00C34982"/>
    <w:rsid w:val="00C3663B"/>
    <w:rsid w:val="00C53C49"/>
    <w:rsid w:val="00C546D9"/>
    <w:rsid w:val="00CB543D"/>
    <w:rsid w:val="00CC66C9"/>
    <w:rsid w:val="00CD3508"/>
    <w:rsid w:val="00CD69B3"/>
    <w:rsid w:val="00CF75B9"/>
    <w:rsid w:val="00D04BE2"/>
    <w:rsid w:val="00D71DD2"/>
    <w:rsid w:val="00D93048"/>
    <w:rsid w:val="00DC191D"/>
    <w:rsid w:val="00DD3685"/>
    <w:rsid w:val="00DD66F0"/>
    <w:rsid w:val="00DE2FBC"/>
    <w:rsid w:val="00DF1D8B"/>
    <w:rsid w:val="00E07E23"/>
    <w:rsid w:val="00E90641"/>
    <w:rsid w:val="00E93D54"/>
    <w:rsid w:val="00ED74A0"/>
    <w:rsid w:val="00F37C45"/>
    <w:rsid w:val="00F64A73"/>
    <w:rsid w:val="00FA2C17"/>
    <w:rsid w:val="00FE06FF"/>
    <w:rsid w:val="00FF0953"/>
    <w:rsid w:val="01A71FD9"/>
    <w:rsid w:val="01E731C4"/>
    <w:rsid w:val="02264473"/>
    <w:rsid w:val="02B65238"/>
    <w:rsid w:val="033A0C2B"/>
    <w:rsid w:val="03BA7E97"/>
    <w:rsid w:val="050253E3"/>
    <w:rsid w:val="0524581C"/>
    <w:rsid w:val="053716F6"/>
    <w:rsid w:val="05BC001D"/>
    <w:rsid w:val="05F31C91"/>
    <w:rsid w:val="05FA4BFE"/>
    <w:rsid w:val="06C25032"/>
    <w:rsid w:val="072F739D"/>
    <w:rsid w:val="08485B98"/>
    <w:rsid w:val="08D5718A"/>
    <w:rsid w:val="08E74E41"/>
    <w:rsid w:val="09297778"/>
    <w:rsid w:val="099F577F"/>
    <w:rsid w:val="09E57B43"/>
    <w:rsid w:val="0A8235E3"/>
    <w:rsid w:val="0AA135E8"/>
    <w:rsid w:val="0BF840A9"/>
    <w:rsid w:val="0C166020"/>
    <w:rsid w:val="0CFD1647"/>
    <w:rsid w:val="0D203FEB"/>
    <w:rsid w:val="0D3A01A5"/>
    <w:rsid w:val="0D580CD3"/>
    <w:rsid w:val="0DC6565A"/>
    <w:rsid w:val="0DE81954"/>
    <w:rsid w:val="0E460EB9"/>
    <w:rsid w:val="0E464928"/>
    <w:rsid w:val="0EF92416"/>
    <w:rsid w:val="0F743BC2"/>
    <w:rsid w:val="105772C0"/>
    <w:rsid w:val="105F091F"/>
    <w:rsid w:val="110F163A"/>
    <w:rsid w:val="117D6711"/>
    <w:rsid w:val="1214337E"/>
    <w:rsid w:val="12961EC0"/>
    <w:rsid w:val="129735F5"/>
    <w:rsid w:val="12AB744F"/>
    <w:rsid w:val="12D12CBC"/>
    <w:rsid w:val="141D612B"/>
    <w:rsid w:val="14B775E0"/>
    <w:rsid w:val="153656F6"/>
    <w:rsid w:val="1552707D"/>
    <w:rsid w:val="15912C5F"/>
    <w:rsid w:val="16192089"/>
    <w:rsid w:val="1666520F"/>
    <w:rsid w:val="16E9278E"/>
    <w:rsid w:val="17396A50"/>
    <w:rsid w:val="17575502"/>
    <w:rsid w:val="17577BA6"/>
    <w:rsid w:val="178D35C8"/>
    <w:rsid w:val="18040BF3"/>
    <w:rsid w:val="182063B9"/>
    <w:rsid w:val="18235068"/>
    <w:rsid w:val="191C10A7"/>
    <w:rsid w:val="1981715C"/>
    <w:rsid w:val="19FD67E3"/>
    <w:rsid w:val="1A3A4363"/>
    <w:rsid w:val="1A70250F"/>
    <w:rsid w:val="1A9538E9"/>
    <w:rsid w:val="1B22670C"/>
    <w:rsid w:val="1BBC0700"/>
    <w:rsid w:val="1C224C26"/>
    <w:rsid w:val="1C897248"/>
    <w:rsid w:val="1D342403"/>
    <w:rsid w:val="1D453AD5"/>
    <w:rsid w:val="1DE3354F"/>
    <w:rsid w:val="1E7A3247"/>
    <w:rsid w:val="1EB31B66"/>
    <w:rsid w:val="1FB5190D"/>
    <w:rsid w:val="1FCC3F47"/>
    <w:rsid w:val="1FF70EBC"/>
    <w:rsid w:val="20CD0509"/>
    <w:rsid w:val="20D14525"/>
    <w:rsid w:val="219B7AC5"/>
    <w:rsid w:val="21AE5C79"/>
    <w:rsid w:val="22480C15"/>
    <w:rsid w:val="22873460"/>
    <w:rsid w:val="233A01A7"/>
    <w:rsid w:val="23837162"/>
    <w:rsid w:val="23897339"/>
    <w:rsid w:val="2471294C"/>
    <w:rsid w:val="24A42F7C"/>
    <w:rsid w:val="2539433E"/>
    <w:rsid w:val="25C32FD6"/>
    <w:rsid w:val="25CE3729"/>
    <w:rsid w:val="25D54AB7"/>
    <w:rsid w:val="25F5515A"/>
    <w:rsid w:val="265459C7"/>
    <w:rsid w:val="269B5716"/>
    <w:rsid w:val="26BE72FA"/>
    <w:rsid w:val="26F35A5B"/>
    <w:rsid w:val="273146F3"/>
    <w:rsid w:val="275F6D2E"/>
    <w:rsid w:val="27CB43C4"/>
    <w:rsid w:val="290F2E7F"/>
    <w:rsid w:val="2958018B"/>
    <w:rsid w:val="2A12193E"/>
    <w:rsid w:val="2AAD1B5F"/>
    <w:rsid w:val="2B65068C"/>
    <w:rsid w:val="2B7B16EA"/>
    <w:rsid w:val="2BC368F6"/>
    <w:rsid w:val="2BCC24B9"/>
    <w:rsid w:val="2BEE242F"/>
    <w:rsid w:val="2C167D90"/>
    <w:rsid w:val="2C786927"/>
    <w:rsid w:val="2C964A50"/>
    <w:rsid w:val="2CB2345D"/>
    <w:rsid w:val="2CC26061"/>
    <w:rsid w:val="2D142369"/>
    <w:rsid w:val="2D205AFA"/>
    <w:rsid w:val="2D3C541C"/>
    <w:rsid w:val="2DF16206"/>
    <w:rsid w:val="2F351D54"/>
    <w:rsid w:val="2F4E3A2F"/>
    <w:rsid w:val="2F785C3B"/>
    <w:rsid w:val="2FFE2E5D"/>
    <w:rsid w:val="309E498E"/>
    <w:rsid w:val="30A568CA"/>
    <w:rsid w:val="30CC0AB2"/>
    <w:rsid w:val="310B2561"/>
    <w:rsid w:val="31794375"/>
    <w:rsid w:val="31F7520E"/>
    <w:rsid w:val="32D54AFE"/>
    <w:rsid w:val="32F66610"/>
    <w:rsid w:val="3329254E"/>
    <w:rsid w:val="33352ABC"/>
    <w:rsid w:val="3350420F"/>
    <w:rsid w:val="336727E9"/>
    <w:rsid w:val="339733AC"/>
    <w:rsid w:val="33BA5EAF"/>
    <w:rsid w:val="33EC194A"/>
    <w:rsid w:val="34B61F58"/>
    <w:rsid w:val="34F83F04"/>
    <w:rsid w:val="35A11615"/>
    <w:rsid w:val="35BB76A9"/>
    <w:rsid w:val="35C67793"/>
    <w:rsid w:val="35E46651"/>
    <w:rsid w:val="360867E3"/>
    <w:rsid w:val="363D286C"/>
    <w:rsid w:val="367D5540"/>
    <w:rsid w:val="36DB7A54"/>
    <w:rsid w:val="37396506"/>
    <w:rsid w:val="375C0B95"/>
    <w:rsid w:val="379A1DE6"/>
    <w:rsid w:val="3838194A"/>
    <w:rsid w:val="38C56C0D"/>
    <w:rsid w:val="390D3497"/>
    <w:rsid w:val="393578EF"/>
    <w:rsid w:val="39BF7B6F"/>
    <w:rsid w:val="3B3F33B9"/>
    <w:rsid w:val="3B6B3A9C"/>
    <w:rsid w:val="3BE24383"/>
    <w:rsid w:val="3BF82DFE"/>
    <w:rsid w:val="3BFF4871"/>
    <w:rsid w:val="3C184D10"/>
    <w:rsid w:val="3C200C06"/>
    <w:rsid w:val="3CF278A5"/>
    <w:rsid w:val="3D57169A"/>
    <w:rsid w:val="3D8E5391"/>
    <w:rsid w:val="3DBA0E2B"/>
    <w:rsid w:val="3E053F67"/>
    <w:rsid w:val="3FAA26B9"/>
    <w:rsid w:val="3FDA7EEC"/>
    <w:rsid w:val="3FEA53F0"/>
    <w:rsid w:val="40B437EF"/>
    <w:rsid w:val="40C61775"/>
    <w:rsid w:val="40FD3DE3"/>
    <w:rsid w:val="410320E1"/>
    <w:rsid w:val="411758C7"/>
    <w:rsid w:val="41A51CDA"/>
    <w:rsid w:val="41F84F3C"/>
    <w:rsid w:val="42CD18B8"/>
    <w:rsid w:val="42D00854"/>
    <w:rsid w:val="42E859D2"/>
    <w:rsid w:val="43E83468"/>
    <w:rsid w:val="44625310"/>
    <w:rsid w:val="448378E8"/>
    <w:rsid w:val="44972A0F"/>
    <w:rsid w:val="4497737B"/>
    <w:rsid w:val="44EE2122"/>
    <w:rsid w:val="44F854BD"/>
    <w:rsid w:val="451B0C14"/>
    <w:rsid w:val="45626999"/>
    <w:rsid w:val="45C8476B"/>
    <w:rsid w:val="46204C66"/>
    <w:rsid w:val="468E063F"/>
    <w:rsid w:val="46F66072"/>
    <w:rsid w:val="473D3E13"/>
    <w:rsid w:val="476F45C2"/>
    <w:rsid w:val="47A17442"/>
    <w:rsid w:val="47BF33B2"/>
    <w:rsid w:val="47EE338F"/>
    <w:rsid w:val="485E609B"/>
    <w:rsid w:val="4860600B"/>
    <w:rsid w:val="48B20EA9"/>
    <w:rsid w:val="48EE7ABB"/>
    <w:rsid w:val="497C50C6"/>
    <w:rsid w:val="49951CE4"/>
    <w:rsid w:val="4A38627E"/>
    <w:rsid w:val="4A3F5480"/>
    <w:rsid w:val="4A5015E0"/>
    <w:rsid w:val="4AC66877"/>
    <w:rsid w:val="4B1732F9"/>
    <w:rsid w:val="4BBE6A82"/>
    <w:rsid w:val="4C59349D"/>
    <w:rsid w:val="4CAD0DFF"/>
    <w:rsid w:val="4DE56A90"/>
    <w:rsid w:val="4DF47921"/>
    <w:rsid w:val="4DF64C7D"/>
    <w:rsid w:val="4E0137E6"/>
    <w:rsid w:val="4E3E07E7"/>
    <w:rsid w:val="4E736707"/>
    <w:rsid w:val="4E9C1D08"/>
    <w:rsid w:val="4EF46C01"/>
    <w:rsid w:val="4F980367"/>
    <w:rsid w:val="501C6CBB"/>
    <w:rsid w:val="509671E9"/>
    <w:rsid w:val="518F0859"/>
    <w:rsid w:val="52951C26"/>
    <w:rsid w:val="52AF15D1"/>
    <w:rsid w:val="538A6632"/>
    <w:rsid w:val="544B1705"/>
    <w:rsid w:val="55436A98"/>
    <w:rsid w:val="55616AAB"/>
    <w:rsid w:val="556B01A6"/>
    <w:rsid w:val="559B2D78"/>
    <w:rsid w:val="55B61960"/>
    <w:rsid w:val="55E94DC9"/>
    <w:rsid w:val="573E2EB7"/>
    <w:rsid w:val="57507B1B"/>
    <w:rsid w:val="57A84AF4"/>
    <w:rsid w:val="57D73840"/>
    <w:rsid w:val="589F66DB"/>
    <w:rsid w:val="5A533C21"/>
    <w:rsid w:val="5AE605F2"/>
    <w:rsid w:val="5AFA2561"/>
    <w:rsid w:val="5B76666A"/>
    <w:rsid w:val="5CAA4098"/>
    <w:rsid w:val="5CB378C5"/>
    <w:rsid w:val="5D6A41D1"/>
    <w:rsid w:val="5E0A45F7"/>
    <w:rsid w:val="5E7B3341"/>
    <w:rsid w:val="5F0E45BB"/>
    <w:rsid w:val="5F3A53B0"/>
    <w:rsid w:val="5F811ED6"/>
    <w:rsid w:val="5F904FD0"/>
    <w:rsid w:val="5FCE76B8"/>
    <w:rsid w:val="60372E6A"/>
    <w:rsid w:val="60D442AF"/>
    <w:rsid w:val="60DC1129"/>
    <w:rsid w:val="611877A9"/>
    <w:rsid w:val="61693D2A"/>
    <w:rsid w:val="617A6D27"/>
    <w:rsid w:val="61F07FA8"/>
    <w:rsid w:val="62261697"/>
    <w:rsid w:val="62BD4E12"/>
    <w:rsid w:val="63386CB4"/>
    <w:rsid w:val="63870498"/>
    <w:rsid w:val="63C830D7"/>
    <w:rsid w:val="64283A29"/>
    <w:rsid w:val="642E6B65"/>
    <w:rsid w:val="64B90146"/>
    <w:rsid w:val="65A52668"/>
    <w:rsid w:val="65AB2B63"/>
    <w:rsid w:val="66974E96"/>
    <w:rsid w:val="66AC6B93"/>
    <w:rsid w:val="66E76BB1"/>
    <w:rsid w:val="67C16A56"/>
    <w:rsid w:val="67E3330A"/>
    <w:rsid w:val="6851356A"/>
    <w:rsid w:val="69144407"/>
    <w:rsid w:val="694B2F19"/>
    <w:rsid w:val="6AF40A07"/>
    <w:rsid w:val="6B923E7E"/>
    <w:rsid w:val="6C0D65B6"/>
    <w:rsid w:val="6C2B055A"/>
    <w:rsid w:val="6C47479E"/>
    <w:rsid w:val="6CE80D3E"/>
    <w:rsid w:val="6D3E606B"/>
    <w:rsid w:val="6DF01B57"/>
    <w:rsid w:val="6F260365"/>
    <w:rsid w:val="6FF37ED6"/>
    <w:rsid w:val="701470DA"/>
    <w:rsid w:val="702419F0"/>
    <w:rsid w:val="70586C0A"/>
    <w:rsid w:val="708E10B8"/>
    <w:rsid w:val="70F4367F"/>
    <w:rsid w:val="718977DE"/>
    <w:rsid w:val="718D5D77"/>
    <w:rsid w:val="71D76CAF"/>
    <w:rsid w:val="72037718"/>
    <w:rsid w:val="736564CD"/>
    <w:rsid w:val="737E3665"/>
    <w:rsid w:val="74E1676F"/>
    <w:rsid w:val="75F02DE9"/>
    <w:rsid w:val="76810E72"/>
    <w:rsid w:val="77253DF8"/>
    <w:rsid w:val="77884AB3"/>
    <w:rsid w:val="77DA4BE2"/>
    <w:rsid w:val="77E64B1E"/>
    <w:rsid w:val="77EA669B"/>
    <w:rsid w:val="77ED0DBA"/>
    <w:rsid w:val="785D6228"/>
    <w:rsid w:val="7899296C"/>
    <w:rsid w:val="795F52DC"/>
    <w:rsid w:val="7A9B136A"/>
    <w:rsid w:val="7AA96A39"/>
    <w:rsid w:val="7AF90B12"/>
    <w:rsid w:val="7B2A7C2F"/>
    <w:rsid w:val="7B30422E"/>
    <w:rsid w:val="7B30793B"/>
    <w:rsid w:val="7C240B22"/>
    <w:rsid w:val="7C8D65EB"/>
    <w:rsid w:val="7CB262EF"/>
    <w:rsid w:val="7D6733BC"/>
    <w:rsid w:val="7D6D69F7"/>
    <w:rsid w:val="7DFA4230"/>
    <w:rsid w:val="7E655B4E"/>
    <w:rsid w:val="7E7933A7"/>
    <w:rsid w:val="7EDD528E"/>
    <w:rsid w:val="7F7D2A23"/>
    <w:rsid w:val="7FE446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99"/>
    <w:pPr>
      <w:spacing w:after="120"/>
      <w:ind w:firstLine="720" w:firstLineChars="200"/>
    </w:pPr>
  </w:style>
  <w:style w:type="paragraph" w:styleId="5">
    <w:name w:val="Plain Text"/>
    <w:basedOn w:val="1"/>
    <w:qFormat/>
    <w:uiPriority w:val="0"/>
    <w:rPr>
      <w:rFonts w:ascii="宋体" w:hAnsi="Courier New"/>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rPr>
      <w:color w:val="000000"/>
      <w:kern w:val="0"/>
    </w:rPr>
  </w:style>
  <w:style w:type="paragraph" w:customStyle="1" w:styleId="1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5818</Words>
  <Characters>6063</Characters>
  <Lines>39</Lines>
  <Paragraphs>11</Paragraphs>
  <TotalTime>18</TotalTime>
  <ScaleCrop>false</ScaleCrop>
  <LinksUpToDate>false</LinksUpToDate>
  <CharactersWithSpaces>6179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2022-07-26T11:45:09Z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C401502A590C480B8F479ACF3A135FD6</vt:lpwstr>
  </property>
</Properties>
</file>