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 w:rsidR="0000554C" w:rsidRPr="00DE5A18" w:rsidRDefault="0000554C" w:rsidP="0000554C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Pr="00DE5A18">
        <w:rPr>
          <w:rFonts w:hint="eastAsia"/>
          <w:color w:val="000000"/>
          <w:sz w:val="28"/>
          <w:szCs w:val="28"/>
        </w:rPr>
        <w:t xml:space="preserve">                 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Pr="00DE5A18">
        <w:rPr>
          <w:rFonts w:hint="eastAsia"/>
          <w:color w:val="000000"/>
          <w:sz w:val="28"/>
          <w:szCs w:val="28"/>
        </w:rPr>
        <w:t xml:space="preserve">            </w:t>
      </w:r>
      <w:r w:rsidRPr="00DE5A18">
        <w:rPr>
          <w:rFonts w:hint="eastAsia"/>
          <w:color w:val="000000"/>
          <w:sz w:val="28"/>
          <w:szCs w:val="28"/>
        </w:rPr>
        <w:t>审核日期：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980"/>
        <w:gridCol w:w="3274"/>
        <w:gridCol w:w="4276"/>
        <w:gridCol w:w="1280"/>
      </w:tblGrid>
      <w:tr w:rsidR="00320AD0">
        <w:tc>
          <w:tcPr>
            <w:tcW w:w="980" w:type="dxa"/>
          </w:tcPr>
          <w:p w:rsidR="00320AD0" w:rsidRDefault="00DE5A18" w:rsidP="00DE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:rsidTr="00DE5A18">
        <w:trPr>
          <w:trHeight w:val="1259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547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271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获证后管理体系的重大变化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403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获证后管理体系认证范围有无变化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692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获证后是否发生事件、曝光、处罚和重大投诉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54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获证后如何使用认证证书和标志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0AD0" w:rsidTr="00DE5A18">
        <w:trPr>
          <w:trHeight w:val="169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320AD0" w:rsidRPr="00DE5A18" w:rsidRDefault="00320AD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E5A18" w:rsidRDefault="00DE5A18" w:rsidP="00DE5A18">
      <w:pPr>
        <w:jc w:val="left"/>
        <w:rPr>
          <w:sz w:val="30"/>
          <w:szCs w:val="30"/>
        </w:rPr>
      </w:pPr>
    </w:p>
    <w:p w:rsidR="00DE5A18" w:rsidRDefault="00DE5A18" w:rsidP="00DE5A18">
      <w:pPr>
        <w:jc w:val="left"/>
        <w:rPr>
          <w:sz w:val="24"/>
        </w:rPr>
      </w:pPr>
    </w:p>
    <w:p w:rsidR="00527FA3" w:rsidRDefault="00527FA3" w:rsidP="00DE5A18">
      <w:pPr>
        <w:jc w:val="left"/>
        <w:rPr>
          <w:sz w:val="24"/>
        </w:rPr>
      </w:pPr>
    </w:p>
    <w:p w:rsidR="00DE5A18" w:rsidRPr="00DE5A18" w:rsidRDefault="00DE5A18" w:rsidP="00DE5A18">
      <w:pPr>
        <w:jc w:val="left"/>
        <w:rPr>
          <w:sz w:val="24"/>
        </w:rPr>
      </w:pPr>
    </w:p>
    <w:p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 w:rsidR="00527FA3">
        <w:rPr>
          <w:rFonts w:hint="eastAsia"/>
          <w:sz w:val="30"/>
          <w:szCs w:val="30"/>
        </w:rPr>
        <w:t>服务</w:t>
      </w:r>
      <w:r>
        <w:rPr>
          <w:rFonts w:hint="eastAsia"/>
          <w:sz w:val="30"/>
          <w:szCs w:val="30"/>
        </w:rPr>
        <w:t>）</w:t>
      </w:r>
    </w:p>
    <w:p w:rsidR="00DE5A18" w:rsidRPr="00DE5A18" w:rsidRDefault="00DE5A18" w:rsidP="00DE5A18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Pr="00DE5A18">
        <w:rPr>
          <w:rFonts w:hint="eastAsia"/>
          <w:color w:val="000000"/>
          <w:sz w:val="28"/>
          <w:szCs w:val="28"/>
        </w:rPr>
        <w:t xml:space="preserve">                 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Pr="00DE5A18">
        <w:rPr>
          <w:rFonts w:hint="eastAsia"/>
          <w:color w:val="000000"/>
          <w:sz w:val="28"/>
          <w:szCs w:val="28"/>
        </w:rPr>
        <w:t xml:space="preserve">            </w:t>
      </w:r>
      <w:r w:rsidRPr="00DE5A18">
        <w:rPr>
          <w:rFonts w:hint="eastAsia"/>
          <w:color w:val="000000"/>
          <w:sz w:val="28"/>
          <w:szCs w:val="28"/>
        </w:rPr>
        <w:t>审核日期：</w:t>
      </w:r>
    </w:p>
    <w:tbl>
      <w:tblPr>
        <w:tblStyle w:val="a3"/>
        <w:tblW w:w="1066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3404"/>
        <w:gridCol w:w="4276"/>
        <w:gridCol w:w="1280"/>
      </w:tblGrid>
      <w:tr w:rsidR="00DE4840" w:rsidRPr="005C38BF" w:rsidTr="00DE4840">
        <w:tc>
          <w:tcPr>
            <w:tcW w:w="850" w:type="dxa"/>
          </w:tcPr>
          <w:p w:rsidR="00DE4840" w:rsidRPr="005C38BF" w:rsidRDefault="00DE4840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标题</w:t>
            </w:r>
          </w:p>
        </w:tc>
        <w:tc>
          <w:tcPr>
            <w:tcW w:w="850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条款号</w:t>
            </w:r>
          </w:p>
        </w:tc>
        <w:tc>
          <w:tcPr>
            <w:tcW w:w="3404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审核要点</w:t>
            </w:r>
          </w:p>
        </w:tc>
        <w:tc>
          <w:tcPr>
            <w:tcW w:w="4276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280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评价结论</w:t>
            </w: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5C38BF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组织架构</w:t>
            </w:r>
          </w:p>
        </w:tc>
        <w:tc>
          <w:tcPr>
            <w:tcW w:w="850" w:type="dxa"/>
            <w:vMerge w:val="restart"/>
          </w:tcPr>
          <w:p w:rsidR="001D32E8" w:rsidRPr="005C38BF" w:rsidRDefault="001D32E8" w:rsidP="001D32E8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5.1.1</w:t>
            </w:r>
          </w:p>
          <w:p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="001D32E8" w:rsidRPr="005C38BF">
              <w:rPr>
                <w:rFonts w:hint="eastAsia"/>
                <w:szCs w:val="21"/>
              </w:rPr>
              <w:t>售后服务工作部门</w:t>
            </w:r>
            <w:r w:rsidRPr="005C38BF">
              <w:rPr>
                <w:rFonts w:hint="eastAsia"/>
                <w:szCs w:val="21"/>
              </w:rPr>
              <w:t>职能划分和岗位设置</w:t>
            </w:r>
            <w:r>
              <w:rPr>
                <w:rFonts w:hint="eastAsia"/>
                <w:szCs w:val="21"/>
              </w:rPr>
              <w:t>是否合理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Default="003E021C" w:rsidP="00F50337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服务网点管理</w:t>
            </w:r>
            <w:r>
              <w:rPr>
                <w:rFonts w:hint="eastAsia"/>
                <w:szCs w:val="21"/>
              </w:rPr>
              <w:t>是否有效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人员配置</w:t>
            </w:r>
          </w:p>
        </w:tc>
        <w:tc>
          <w:tcPr>
            <w:tcW w:w="850" w:type="dxa"/>
            <w:vMerge w:val="restart"/>
          </w:tcPr>
          <w:p w:rsidR="001D32E8" w:rsidRPr="00F50337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5.1.2</w:t>
            </w:r>
          </w:p>
          <w:p w:rsidR="001D32E8" w:rsidRPr="005C38BF" w:rsidRDefault="001D32E8" w:rsidP="005F02A0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1D32E8" w:rsidRPr="005C38BF" w:rsidRDefault="001D32E8" w:rsidP="00312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Pr="00F50337">
              <w:rPr>
                <w:rFonts w:hint="eastAsia"/>
                <w:szCs w:val="21"/>
              </w:rPr>
              <w:t>售后服务技术人员和业务人员</w:t>
            </w:r>
            <w:r>
              <w:rPr>
                <w:rFonts w:hint="eastAsia"/>
                <w:szCs w:val="21"/>
              </w:rPr>
              <w:t>是否符合</w:t>
            </w:r>
            <w:r w:rsidRPr="00F50337">
              <w:rPr>
                <w:rFonts w:hint="eastAsia"/>
                <w:szCs w:val="21"/>
              </w:rPr>
              <w:t>岗位要求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F50337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配置售后服务管理师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10%</w:t>
            </w:r>
            <w:r>
              <w:rPr>
                <w:rFonts w:hint="eastAsia"/>
                <w:szCs w:val="21"/>
              </w:rPr>
              <w:t>）是否按要求配备</w:t>
            </w:r>
          </w:p>
        </w:tc>
        <w:tc>
          <w:tcPr>
            <w:tcW w:w="4276" w:type="dxa"/>
          </w:tcPr>
          <w:p w:rsidR="001D32E8" w:rsidRPr="00F50337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1D32E8">
        <w:trPr>
          <w:trHeight w:val="662"/>
        </w:trPr>
        <w:tc>
          <w:tcPr>
            <w:tcW w:w="850" w:type="dxa"/>
          </w:tcPr>
          <w:p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资源配置</w:t>
            </w:r>
          </w:p>
        </w:tc>
        <w:tc>
          <w:tcPr>
            <w:tcW w:w="850" w:type="dxa"/>
          </w:tcPr>
          <w:p w:rsidR="001D32E8" w:rsidRPr="005C38BF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5.1.3</w:t>
            </w:r>
          </w:p>
          <w:p w:rsidR="001D32E8" w:rsidRPr="005C38BF" w:rsidRDefault="001D32E8" w:rsidP="00DD71EA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现场查验基础设施、专项经费、</w:t>
            </w:r>
            <w:r w:rsidRPr="00F50337">
              <w:rPr>
                <w:rFonts w:hint="eastAsia"/>
                <w:szCs w:val="21"/>
              </w:rPr>
              <w:t>内部保障</w:t>
            </w:r>
            <w:r>
              <w:rPr>
                <w:rFonts w:hint="eastAsia"/>
                <w:szCs w:val="21"/>
              </w:rPr>
              <w:t>是否满足要求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3E021C" w:rsidRPr="005C38BF" w:rsidTr="00626664">
        <w:trPr>
          <w:trHeight w:val="936"/>
        </w:trPr>
        <w:tc>
          <w:tcPr>
            <w:tcW w:w="850" w:type="dxa"/>
          </w:tcPr>
          <w:p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规范要求</w:t>
            </w:r>
          </w:p>
        </w:tc>
        <w:tc>
          <w:tcPr>
            <w:tcW w:w="850" w:type="dxa"/>
          </w:tcPr>
          <w:p w:rsidR="003E021C" w:rsidRPr="005C38BF" w:rsidRDefault="003E021C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5.1.4</w:t>
            </w:r>
          </w:p>
          <w:p w:rsidR="003E021C" w:rsidRPr="005C38BF" w:rsidRDefault="003E021C" w:rsidP="00F5033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3E021C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是否制定</w:t>
            </w:r>
            <w:r w:rsidRPr="00F50337">
              <w:rPr>
                <w:rFonts w:hint="eastAsia"/>
                <w:szCs w:val="21"/>
              </w:rPr>
              <w:t>以企业文件形式形成完整的售后服务手册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且</w:t>
            </w:r>
            <w:r>
              <w:rPr>
                <w:rFonts w:hint="eastAsia"/>
                <w:szCs w:val="21"/>
              </w:rPr>
              <w:t>否识别</w:t>
            </w:r>
            <w:proofErr w:type="gramEnd"/>
            <w:r>
              <w:rPr>
                <w:rFonts w:hint="eastAsia"/>
                <w:szCs w:val="21"/>
              </w:rPr>
              <w:t>了法律法规要求</w:t>
            </w:r>
          </w:p>
        </w:tc>
        <w:tc>
          <w:tcPr>
            <w:tcW w:w="4276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</w:tr>
      <w:tr w:rsidR="003E021C" w:rsidRPr="005C38BF" w:rsidTr="003E021C">
        <w:trPr>
          <w:trHeight w:val="677"/>
        </w:trPr>
        <w:tc>
          <w:tcPr>
            <w:tcW w:w="850" w:type="dxa"/>
          </w:tcPr>
          <w:p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监督</w:t>
            </w:r>
          </w:p>
        </w:tc>
        <w:tc>
          <w:tcPr>
            <w:tcW w:w="850" w:type="dxa"/>
          </w:tcPr>
          <w:p w:rsidR="003E021C" w:rsidRPr="00D55195" w:rsidRDefault="003E021C" w:rsidP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5.1.5</w:t>
            </w:r>
          </w:p>
          <w:p w:rsidR="003E021C" w:rsidRPr="005C38BF" w:rsidRDefault="003E021C" w:rsidP="00B23ADC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3E021C" w:rsidRPr="005C38BF" w:rsidRDefault="003E021C" w:rsidP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F50337">
              <w:rPr>
                <w:rFonts w:hint="eastAsia"/>
                <w:szCs w:val="21"/>
              </w:rPr>
              <w:t>设立服务监督机构，</w:t>
            </w:r>
            <w:r>
              <w:rPr>
                <w:rFonts w:hint="eastAsia"/>
                <w:szCs w:val="21"/>
              </w:rPr>
              <w:t>设置奖惩制度，</w:t>
            </w:r>
            <w:r>
              <w:rPr>
                <w:szCs w:val="21"/>
              </w:rPr>
              <w:t>促进服务品质提升</w:t>
            </w:r>
          </w:p>
        </w:tc>
        <w:tc>
          <w:tcPr>
            <w:tcW w:w="4276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改进</w:t>
            </w:r>
          </w:p>
        </w:tc>
        <w:tc>
          <w:tcPr>
            <w:tcW w:w="850" w:type="dxa"/>
            <w:vMerge w:val="restart"/>
          </w:tcPr>
          <w:p w:rsidR="001D32E8" w:rsidRPr="005C38BF" w:rsidRDefault="001D32E8" w:rsidP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5.1.6</w:t>
            </w:r>
          </w:p>
          <w:p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信息反馈机制</w:t>
            </w:r>
            <w:r w:rsidR="003E021C">
              <w:rPr>
                <w:rFonts w:hint="eastAsia"/>
                <w:szCs w:val="21"/>
              </w:rPr>
              <w:t>运行是否畅通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设立有关服务研究部门或委托专业机构进行</w:t>
            </w:r>
            <w:r>
              <w:rPr>
                <w:rFonts w:hint="eastAsia"/>
                <w:szCs w:val="21"/>
              </w:rPr>
              <w:t>难以解决</w:t>
            </w:r>
            <w:r w:rsidRPr="00D55195">
              <w:rPr>
                <w:rFonts w:hint="eastAsia"/>
                <w:szCs w:val="21"/>
              </w:rPr>
              <w:t>问题</w:t>
            </w:r>
            <w:r>
              <w:rPr>
                <w:rFonts w:hint="eastAsia"/>
                <w:szCs w:val="21"/>
              </w:rPr>
              <w:t>的</w:t>
            </w:r>
            <w:r w:rsidRPr="00D55195">
              <w:rPr>
                <w:rFonts w:hint="eastAsia"/>
                <w:szCs w:val="21"/>
              </w:rPr>
              <w:t>研究和咨询</w:t>
            </w:r>
          </w:p>
        </w:tc>
        <w:tc>
          <w:tcPr>
            <w:tcW w:w="4276" w:type="dxa"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通过国家认可的相关品牌、安全或管理认证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参与国家、行业有关标准的制定工作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服务文化</w:t>
            </w:r>
          </w:p>
        </w:tc>
        <w:tc>
          <w:tcPr>
            <w:tcW w:w="850" w:type="dxa"/>
            <w:vMerge w:val="restart"/>
          </w:tcPr>
          <w:p w:rsidR="001D32E8" w:rsidRPr="00D55195" w:rsidRDefault="001D32E8" w:rsidP="001D32E8">
            <w:pPr>
              <w:rPr>
                <w:szCs w:val="21"/>
              </w:rPr>
            </w:pPr>
            <w:r w:rsidRPr="00D55195">
              <w:rPr>
                <w:szCs w:val="21"/>
              </w:rPr>
              <w:t>5.1.7</w:t>
            </w:r>
          </w:p>
          <w:p w:rsidR="001D32E8" w:rsidRPr="005C38BF" w:rsidRDefault="001D32E8" w:rsidP="006172EE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是否明确</w:t>
            </w:r>
            <w:r w:rsidRPr="00D55195">
              <w:rPr>
                <w:rFonts w:hint="eastAsia"/>
                <w:szCs w:val="21"/>
              </w:rPr>
              <w:t>服务理念</w:t>
            </w:r>
            <w:r>
              <w:rPr>
                <w:rFonts w:hint="eastAsia"/>
                <w:szCs w:val="21"/>
              </w:rPr>
              <w:t>并</w:t>
            </w:r>
            <w:r w:rsidRPr="00D55195">
              <w:rPr>
                <w:rFonts w:hint="eastAsia"/>
                <w:szCs w:val="21"/>
              </w:rPr>
              <w:t>保证员工理解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1D2202">
        <w:trPr>
          <w:trHeight w:val="936"/>
        </w:trPr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6172E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B51211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="001D32E8" w:rsidRPr="00D55195">
              <w:rPr>
                <w:rFonts w:hint="eastAsia"/>
                <w:szCs w:val="21"/>
              </w:rPr>
              <w:t>对售后服务的目标或水平做出承诺，</w:t>
            </w:r>
            <w:r w:rsidR="001D32E8">
              <w:rPr>
                <w:rFonts w:hint="eastAsia"/>
                <w:szCs w:val="21"/>
              </w:rPr>
              <w:t>是否与企业宣传材料</w:t>
            </w:r>
            <w:r w:rsidR="001D32E8" w:rsidRPr="00D55195">
              <w:rPr>
                <w:rFonts w:hint="eastAsia"/>
                <w:szCs w:val="21"/>
              </w:rPr>
              <w:t>表述准确一致</w:t>
            </w:r>
            <w:r w:rsidR="001D32E8">
              <w:rPr>
                <w:rFonts w:hint="eastAsia"/>
                <w:szCs w:val="21"/>
              </w:rPr>
              <w:t>，并向</w:t>
            </w:r>
            <w:r w:rsidR="001D32E8" w:rsidRPr="00D55195">
              <w:rPr>
                <w:rFonts w:hint="eastAsia"/>
                <w:szCs w:val="21"/>
              </w:rPr>
              <w:t>社会公众做</w:t>
            </w:r>
            <w:r w:rsidR="001D32E8">
              <w:rPr>
                <w:rFonts w:hint="eastAsia"/>
                <w:szCs w:val="21"/>
              </w:rPr>
              <w:t>宣传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3E021C" w:rsidRPr="005C38BF" w:rsidTr="00BA4450">
        <w:trPr>
          <w:trHeight w:val="936"/>
        </w:trPr>
        <w:tc>
          <w:tcPr>
            <w:tcW w:w="850" w:type="dxa"/>
            <w:vMerge w:val="restart"/>
          </w:tcPr>
          <w:p w:rsidR="003E021C" w:rsidRPr="00D55195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商品信息</w:t>
            </w:r>
          </w:p>
        </w:tc>
        <w:tc>
          <w:tcPr>
            <w:tcW w:w="850" w:type="dxa"/>
            <w:vMerge w:val="restart"/>
          </w:tcPr>
          <w:p w:rsidR="003E021C" w:rsidRPr="00D55195" w:rsidRDefault="003E021C" w:rsidP="001D32E8">
            <w:pPr>
              <w:rPr>
                <w:szCs w:val="21"/>
              </w:rPr>
            </w:pPr>
            <w:r>
              <w:rPr>
                <w:szCs w:val="21"/>
              </w:rPr>
              <w:t>5.2.1</w:t>
            </w:r>
          </w:p>
          <w:p w:rsidR="003E021C" w:rsidRPr="00D55195" w:rsidRDefault="003E021C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3E021C" w:rsidRPr="00D55195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  <w:r w:rsidRPr="00D55195">
              <w:rPr>
                <w:rFonts w:hint="eastAsia"/>
                <w:szCs w:val="21"/>
              </w:rPr>
              <w:t>商品包装</w:t>
            </w:r>
            <w:r>
              <w:rPr>
                <w:rFonts w:hint="eastAsia"/>
                <w:szCs w:val="21"/>
              </w:rPr>
              <w:t>、</w:t>
            </w:r>
            <w:r w:rsidRPr="00D55195">
              <w:rPr>
                <w:rFonts w:hint="eastAsia"/>
                <w:szCs w:val="21"/>
              </w:rPr>
              <w:t>商品附属文档</w:t>
            </w:r>
            <w:r>
              <w:rPr>
                <w:rFonts w:hint="eastAsia"/>
                <w:szCs w:val="21"/>
              </w:rPr>
              <w:t>信息是否</w:t>
            </w:r>
            <w:r w:rsidRPr="00D55195">
              <w:rPr>
                <w:rFonts w:hint="eastAsia"/>
                <w:szCs w:val="21"/>
              </w:rPr>
              <w:t>完整、准确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符合法律法规要求</w:t>
            </w:r>
          </w:p>
        </w:tc>
        <w:tc>
          <w:tcPr>
            <w:tcW w:w="4276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 w:rsidP="007E6A1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商品的保修期限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维修收费</w:t>
            </w:r>
            <w:r w:rsidR="00642463">
              <w:rPr>
                <w:rFonts w:hint="eastAsia"/>
                <w:szCs w:val="21"/>
              </w:rPr>
              <w:t>标准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主要部件和易</w:t>
            </w:r>
            <w:proofErr w:type="gramStart"/>
            <w:r w:rsidRPr="007E6A1B">
              <w:rPr>
                <w:rFonts w:hint="eastAsia"/>
                <w:szCs w:val="21"/>
              </w:rPr>
              <w:t>损</w:t>
            </w:r>
            <w:proofErr w:type="gramEnd"/>
            <w:r w:rsidRPr="007E6A1B">
              <w:rPr>
                <w:rFonts w:hint="eastAsia"/>
                <w:szCs w:val="21"/>
              </w:rPr>
              <w:t>配件等信息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7E6A1B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商品上做安全提示，并明示安全使用年限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建立商品系统性缺陷信息公开机制，及时告知顾客</w:t>
            </w:r>
          </w:p>
        </w:tc>
        <w:tc>
          <w:tcPr>
            <w:tcW w:w="4276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490844" w:rsidRPr="005C38BF" w:rsidTr="00490844">
        <w:trPr>
          <w:trHeight w:val="416"/>
        </w:trPr>
        <w:tc>
          <w:tcPr>
            <w:tcW w:w="850" w:type="dxa"/>
            <w:vMerge w:val="restart"/>
          </w:tcPr>
          <w:p w:rsidR="00490844" w:rsidRPr="007E6A1B" w:rsidRDefault="00490844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技术支持</w:t>
            </w:r>
          </w:p>
        </w:tc>
        <w:tc>
          <w:tcPr>
            <w:tcW w:w="850" w:type="dxa"/>
            <w:vMerge w:val="restart"/>
          </w:tcPr>
          <w:p w:rsidR="00490844" w:rsidRPr="007E6A1B" w:rsidRDefault="00490844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5.2.2</w:t>
            </w:r>
          </w:p>
          <w:p w:rsidR="00490844" w:rsidRPr="007E6A1B" w:rsidRDefault="00490844" w:rsidP="00A66B79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490844" w:rsidRPr="007E6A1B" w:rsidRDefault="00490844" w:rsidP="009A395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售出后提供及时、必要的安装和调试</w:t>
            </w:r>
            <w:r>
              <w:rPr>
                <w:rFonts w:hint="eastAsia"/>
                <w:szCs w:val="21"/>
              </w:rPr>
              <w:t>、指导、培训、技术支持、保养</w:t>
            </w:r>
            <w:r w:rsidRPr="007E6A1B">
              <w:rPr>
                <w:rFonts w:hint="eastAsia"/>
                <w:szCs w:val="21"/>
              </w:rPr>
              <w:lastRenderedPageBreak/>
              <w:t>服务</w:t>
            </w:r>
          </w:p>
        </w:tc>
        <w:tc>
          <w:tcPr>
            <w:tcW w:w="4276" w:type="dxa"/>
          </w:tcPr>
          <w:p w:rsidR="00490844" w:rsidRPr="005C38BF" w:rsidRDefault="00490844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490844" w:rsidRPr="005C38BF" w:rsidRDefault="00490844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相关服务活动涉及收费的，应按国家有关规定合理收取，并事先明示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配送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5.2.3</w:t>
            </w:r>
          </w:p>
          <w:p w:rsidR="00B51211" w:rsidRPr="007E6A1B" w:rsidRDefault="00B51211" w:rsidP="00311214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所售商品的包装应完整、安全，便于运输或携带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对顾客所承诺的送货范围、送货时间及时兑现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维修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5.2.4</w:t>
            </w:r>
          </w:p>
          <w:p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490844" w:rsidP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维修是否及时；维修记录是否保存完好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维修设施、设备和器材</w:t>
            </w:r>
            <w:r w:rsidR="00490844">
              <w:rPr>
                <w:rFonts w:hint="eastAsia"/>
                <w:szCs w:val="21"/>
              </w:rPr>
              <w:t>、材料、配件</w:t>
            </w:r>
            <w:r w:rsidRPr="007E6A1B"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必要时是否</w:t>
            </w:r>
            <w:r w:rsidR="00B51211" w:rsidRPr="007E6A1B">
              <w:rPr>
                <w:rFonts w:hint="eastAsia"/>
                <w:szCs w:val="21"/>
              </w:rPr>
              <w:t>可为顾客提供相应的代用品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>
              <w:rPr>
                <w:szCs w:val="21"/>
              </w:rPr>
              <w:t>保证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5.2.5</w:t>
            </w:r>
          </w:p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商品质量</w:t>
            </w:r>
            <w:r w:rsidR="00490844">
              <w:rPr>
                <w:rFonts w:hint="eastAsia"/>
                <w:szCs w:val="21"/>
              </w:rPr>
              <w:t>、保质期、保修期</w:t>
            </w:r>
            <w:r>
              <w:rPr>
                <w:rFonts w:hint="eastAsia"/>
                <w:szCs w:val="21"/>
              </w:rPr>
              <w:t>是否</w:t>
            </w:r>
            <w:r w:rsidRPr="007E6A1B">
              <w:rPr>
                <w:rFonts w:hint="eastAsia"/>
                <w:szCs w:val="21"/>
              </w:rPr>
              <w:t>符合国家相关法规要求和质量标准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90B7F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退换</w:t>
            </w:r>
            <w:proofErr w:type="gramStart"/>
            <w:r>
              <w:rPr>
                <w:rFonts w:hint="eastAsia"/>
                <w:szCs w:val="21"/>
              </w:rPr>
              <w:t>货记录</w:t>
            </w:r>
            <w:proofErr w:type="gramEnd"/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商品召回或其他补救赔偿记录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废弃商品回收</w:t>
            </w:r>
          </w:p>
        </w:tc>
        <w:tc>
          <w:tcPr>
            <w:tcW w:w="850" w:type="dxa"/>
          </w:tcPr>
          <w:p w:rsidR="003A7744" w:rsidRPr="007E6A1B" w:rsidRDefault="00B51211" w:rsidP="003A7744">
            <w:pPr>
              <w:rPr>
                <w:szCs w:val="21"/>
              </w:rPr>
            </w:pPr>
            <w:r w:rsidRPr="007E6A1B">
              <w:rPr>
                <w:szCs w:val="21"/>
              </w:rPr>
              <w:t>5.2.6</w:t>
            </w:r>
          </w:p>
          <w:p w:rsidR="00B51211" w:rsidRPr="007E6A1B" w:rsidRDefault="00B51211" w:rsidP="00E653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90B7F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向顾客明示废弃商品回收的有关注意事项，</w:t>
            </w:r>
            <w:r w:rsidR="00B90B7F" w:rsidRPr="007E6A1B">
              <w:rPr>
                <w:rFonts w:hint="eastAsia"/>
                <w:szCs w:val="21"/>
              </w:rPr>
              <w:t>按国家有关安全和环保的规定，对废弃商品进行回收和处置。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顾客关系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5.3.1</w:t>
            </w:r>
          </w:p>
          <w:p w:rsidR="00B51211" w:rsidRPr="007E6A1B" w:rsidRDefault="00B51211" w:rsidP="0089381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设立有预约、咨询、报修、投诉、防伪查询功能的顾客反馈渠道，建立顾客服务热线或呼叫中心，并明示受理时间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设立网站，包含售后服务的页面和内容，能够提供在线服务功能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建立顾客信息档案和计算机化的服务管理系统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定期进行顾客满意度调查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定期为顾客提供有针对性的主动服务或回馈活动</w:t>
            </w:r>
          </w:p>
        </w:tc>
        <w:tc>
          <w:tcPr>
            <w:tcW w:w="4276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3A7744" w:rsidRPr="005C38BF" w:rsidTr="00DE4840">
        <w:tc>
          <w:tcPr>
            <w:tcW w:w="850" w:type="dxa"/>
          </w:tcPr>
          <w:p w:rsidR="003A7744" w:rsidRPr="007E6A1B" w:rsidRDefault="003A7744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投诉处理</w:t>
            </w:r>
          </w:p>
        </w:tc>
        <w:tc>
          <w:tcPr>
            <w:tcW w:w="850" w:type="dxa"/>
          </w:tcPr>
          <w:p w:rsidR="003A7744" w:rsidRPr="007E6A1B" w:rsidRDefault="003A7744" w:rsidP="003A77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5.3.2</w:t>
            </w:r>
          </w:p>
          <w:p w:rsidR="003A7744" w:rsidRPr="007E6A1B" w:rsidRDefault="003A7744" w:rsidP="00C61C5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3A7744" w:rsidRPr="007E6A1B" w:rsidRDefault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投诉事件处理及时性及有效性，记录保存完好</w:t>
            </w:r>
          </w:p>
        </w:tc>
        <w:tc>
          <w:tcPr>
            <w:tcW w:w="4276" w:type="dxa"/>
          </w:tcPr>
          <w:p w:rsidR="003A7744" w:rsidRPr="005C38BF" w:rsidRDefault="003A7744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3A7744" w:rsidRPr="005C38BF" w:rsidRDefault="003A7744">
            <w:pPr>
              <w:rPr>
                <w:szCs w:val="21"/>
              </w:rPr>
            </w:pPr>
          </w:p>
        </w:tc>
      </w:tr>
      <w:tr w:rsidR="0016136E" w:rsidRPr="005C38BF" w:rsidTr="00DE4840">
        <w:tc>
          <w:tcPr>
            <w:tcW w:w="850" w:type="dxa"/>
          </w:tcPr>
          <w:p w:rsidR="0016136E" w:rsidRDefault="0016136E" w:rsidP="00FC1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内部自我评价</w:t>
            </w:r>
          </w:p>
        </w:tc>
        <w:tc>
          <w:tcPr>
            <w:tcW w:w="850" w:type="dxa"/>
          </w:tcPr>
          <w:p w:rsidR="0016136E" w:rsidRPr="007E6A1B" w:rsidRDefault="0016136E" w:rsidP="00756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  <w:r w:rsidR="00490844">
              <w:rPr>
                <w:rFonts w:hint="eastAsia"/>
                <w:szCs w:val="21"/>
              </w:rPr>
              <w:t>/6.2/6.3</w:t>
            </w:r>
          </w:p>
        </w:tc>
        <w:tc>
          <w:tcPr>
            <w:tcW w:w="3404" w:type="dxa"/>
          </w:tcPr>
          <w:p w:rsidR="0016136E" w:rsidRPr="007E6A1B" w:rsidRDefault="00490844" w:rsidP="00DE4840">
            <w:pPr>
              <w:rPr>
                <w:szCs w:val="21"/>
              </w:rPr>
            </w:pPr>
            <w:r w:rsidRPr="00490844">
              <w:rPr>
                <w:rFonts w:hint="eastAsia"/>
                <w:szCs w:val="21"/>
              </w:rPr>
              <w:t>现场查看内部审核材料是否完整，</w:t>
            </w:r>
            <w:r>
              <w:rPr>
                <w:rFonts w:hint="eastAsia"/>
                <w:szCs w:val="21"/>
              </w:rPr>
              <w:t>是否</w:t>
            </w:r>
            <w:r w:rsidRPr="00490844">
              <w:rPr>
                <w:rFonts w:hint="eastAsia"/>
                <w:szCs w:val="21"/>
              </w:rPr>
              <w:t>与提供时一致</w:t>
            </w:r>
            <w:bookmarkStart w:id="0" w:name="_GoBack"/>
            <w:bookmarkEnd w:id="0"/>
          </w:p>
        </w:tc>
        <w:tc>
          <w:tcPr>
            <w:tcW w:w="4276" w:type="dxa"/>
          </w:tcPr>
          <w:p w:rsidR="0016136E" w:rsidRPr="005C38BF" w:rsidRDefault="0016136E">
            <w:pPr>
              <w:rPr>
                <w:szCs w:val="21"/>
              </w:rPr>
            </w:pPr>
          </w:p>
        </w:tc>
        <w:tc>
          <w:tcPr>
            <w:tcW w:w="1280" w:type="dxa"/>
          </w:tcPr>
          <w:p w:rsidR="0016136E" w:rsidRPr="005C38BF" w:rsidRDefault="0016136E">
            <w:pPr>
              <w:rPr>
                <w:szCs w:val="21"/>
              </w:rPr>
            </w:pPr>
          </w:p>
        </w:tc>
      </w:tr>
    </w:tbl>
    <w:p w:rsidR="00DE5A18" w:rsidRDefault="00DE5A18">
      <w:pPr>
        <w:jc w:val="center"/>
        <w:rPr>
          <w:sz w:val="30"/>
          <w:szCs w:val="30"/>
        </w:rPr>
      </w:pPr>
    </w:p>
    <w:sectPr w:rsidR="00DE5A18" w:rsidSect="00320A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13" w:rsidRDefault="00672D13" w:rsidP="0000554C">
      <w:r>
        <w:separator/>
      </w:r>
    </w:p>
  </w:endnote>
  <w:endnote w:type="continuationSeparator" w:id="0">
    <w:p w:rsidR="00672D13" w:rsidRDefault="00672D13" w:rsidP="000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13" w:rsidRDefault="00672D13" w:rsidP="0000554C">
      <w:r>
        <w:separator/>
      </w:r>
    </w:p>
  </w:footnote>
  <w:footnote w:type="continuationSeparator" w:id="0">
    <w:p w:rsidR="00672D13" w:rsidRDefault="00672D13" w:rsidP="0000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D76A29"/>
    <w:rsid w:val="0000554C"/>
    <w:rsid w:val="000A4AEE"/>
    <w:rsid w:val="001343CD"/>
    <w:rsid w:val="0016136E"/>
    <w:rsid w:val="001A59EE"/>
    <w:rsid w:val="001D32E8"/>
    <w:rsid w:val="002C1310"/>
    <w:rsid w:val="00312687"/>
    <w:rsid w:val="00320AD0"/>
    <w:rsid w:val="003A351D"/>
    <w:rsid w:val="003A7744"/>
    <w:rsid w:val="003E021C"/>
    <w:rsid w:val="0040116E"/>
    <w:rsid w:val="00490844"/>
    <w:rsid w:val="00527FA3"/>
    <w:rsid w:val="005C38BF"/>
    <w:rsid w:val="00642463"/>
    <w:rsid w:val="00672D13"/>
    <w:rsid w:val="0068177E"/>
    <w:rsid w:val="007E6A1B"/>
    <w:rsid w:val="00B51211"/>
    <w:rsid w:val="00B90B7F"/>
    <w:rsid w:val="00BC4F3D"/>
    <w:rsid w:val="00BF7E6F"/>
    <w:rsid w:val="00CF1B63"/>
    <w:rsid w:val="00D55195"/>
    <w:rsid w:val="00DE4840"/>
    <w:rsid w:val="00DE5A18"/>
    <w:rsid w:val="00F50337"/>
    <w:rsid w:val="00FD6EBF"/>
    <w:rsid w:val="08535C00"/>
    <w:rsid w:val="24D80FA9"/>
    <w:rsid w:val="52701193"/>
    <w:rsid w:val="6AD76A29"/>
    <w:rsid w:val="71AF3790"/>
    <w:rsid w:val="7EC1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AD0"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0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554C"/>
    <w:rPr>
      <w:rFonts w:cs="仿宋"/>
      <w:kern w:val="2"/>
      <w:sz w:val="18"/>
      <w:szCs w:val="18"/>
    </w:rPr>
  </w:style>
  <w:style w:type="paragraph" w:styleId="a5">
    <w:name w:val="footer"/>
    <w:basedOn w:val="a"/>
    <w:link w:val="Char0"/>
    <w:rsid w:val="0000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554C"/>
    <w:rPr>
      <w:rFonts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69</cp:revision>
  <cp:lastPrinted>2021-11-01T06:31:00Z</cp:lastPrinted>
  <dcterms:created xsi:type="dcterms:W3CDTF">2021-11-01T05:45:00Z</dcterms:created>
  <dcterms:modified xsi:type="dcterms:W3CDTF">2022-07-14T02:27:00Z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9F012326B36D4ACF9D67469453F9EA84</vt:lpwstr>
  </property>
</Properties>
</file>