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164"/>
        <w:gridCol w:w="11012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6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Cs w:val="21"/>
              </w:rPr>
              <w:t>行政部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主管领导：</w:t>
            </w:r>
            <w:r>
              <w:rPr>
                <w:rFonts w:hint="eastAsia" w:ascii="宋体" w:hAnsi="宋体"/>
                <w:bCs/>
                <w:szCs w:val="21"/>
              </w:rPr>
              <w:t>王文清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朱玉芳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伍光华、薛永宏（技术专家）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（远程审核、微信沟通）</w:t>
            </w:r>
            <w:r>
              <w:rPr>
                <w:rFonts w:hint="eastAsia" w:ascii="宋体" w:hAnsi="宋体" w:cs="宋体"/>
                <w:szCs w:val="21"/>
              </w:rPr>
              <w:t xml:space="preserve">            审核时间：202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577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6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Arial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5.3组织的岗位、职责和权限、6.2质量目标、7.1.2人员、7.1.3基础设施、7.1.4过程运行环境、7.1.6组织知识、7.2能力、7.3意识、7.5.1形成文件的信息总则、7.5.2形成文件的信息的创建和更新、7.5.3形成文件的信息的控制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b w:val="0"/>
                <w:bCs/>
                <w:spacing w:val="-6"/>
                <w:sz w:val="21"/>
                <w:szCs w:val="21"/>
                <w:u w:val="none"/>
              </w:rPr>
              <w:t>9.1.1监视、测量、分析和评价总则</w:t>
            </w: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 xml:space="preserve">、9.1.3分析与评价、9.2 内部审核、10.2不合格和纠正措施 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 w:val="21"/>
                <w:szCs w:val="21"/>
                <w:u w:val="none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577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164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pStyle w:val="3"/>
            </w:pP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cs="Arial"/>
                <w:szCs w:val="21"/>
              </w:rPr>
              <w:t>QEO：5.3</w:t>
            </w:r>
          </w:p>
        </w:tc>
        <w:tc>
          <w:tcPr>
            <w:tcW w:w="11012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部门负责人：</w:t>
            </w:r>
            <w:r>
              <w:rPr>
                <w:rFonts w:hint="eastAsia" w:ascii="宋体" w:hAnsi="宋体"/>
                <w:bCs/>
                <w:szCs w:val="21"/>
              </w:rPr>
              <w:t>王文清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新宋体"/>
                <w:szCs w:val="21"/>
              </w:rPr>
              <w:t xml:space="preserve">  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询问主要职责：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a. 贯彻落实GB/T19001-2015标准、GB/T24001-2015标准、GB/T45001-2020标准，作好质量、环境、职业安全健康管理体系的具体策划和组织管理工作；负责组织质量、环境和职业健康安全管理体系的内部审核；组织检查质量、环境、职业安全健康管理体系过程的运行情况。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b.文件发放、回收的管理；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c.负责人员的选择，并根据各部门的需求进行安排，编制相应的岗位工作入职要求；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d.组织对各类人员进行有针对性的培训、考核及评价工作，不断提高质量、环境、职业安全健康意识素质和技能；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e.负责法律、法规及其他要求的获取及识别其适用性，并负责法律、法规及其他要求的发放；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f.负责组织公司环境因素、危险源的识别和评价，并确定重要环境因素、危险源，报管理者代表审批。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g.负责监督检查工作场所的工作环境情况；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h.负责公司范围内的应急准备和相应计划的制定及可行性的应急演练。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j.负责监督检查公司各职能部门有关层次上的管理目标的分解、实施及管理方案的制定、检查与实施。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k.负责收集、整理和保管本部门的质量记录以及相关数据收集、传递和交流；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l.负责对环境、安全健康方面的不符合进行纠正和预防措施的跟踪、验证工作；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m.收集、整理和保管本部门的质量记录、对相关的数据收集传递和交流；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n.公司固定资产（基础设施）账务管理；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o.参与质量、环境、职业健康安全管理方案中的经济、技术、成本分析活动；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 p.为建立、实施并持续改进管理体系提供资金支持。</w:t>
            </w:r>
          </w:p>
          <w:p>
            <w:pPr>
              <w:snapToGrid w:val="0"/>
              <w:spacing w:line="360" w:lineRule="auto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Cs w:val="21"/>
              </w:rPr>
              <w:t>部门职责清晰、明确。行政部负责人能基本阐述本部门的主要职责。</w:t>
            </w:r>
          </w:p>
        </w:tc>
        <w:tc>
          <w:tcPr>
            <w:tcW w:w="577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目标、指标管理方案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1164" w:type="dxa"/>
          </w:tcPr>
          <w:p>
            <w:pPr>
              <w:autoSpaceDE w:val="0"/>
              <w:autoSpaceDN w:val="0"/>
              <w:spacing w:line="360" w:lineRule="auto"/>
              <w:ind w:firstLine="210" w:firstLineChars="100"/>
            </w:pP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 xml:space="preserve"> QEO：6.2</w:t>
            </w:r>
          </w:p>
        </w:tc>
        <w:tc>
          <w:tcPr>
            <w:tcW w:w="11012" w:type="dxa"/>
          </w:tcPr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公司有将质量、环境、职业健康安全目标分解到各个部门，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行政部的目标及考核：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确保质量、环境、安全管理体系有效运行，确保体系文件得到有效控制，招聘和培训一次合格率达95%以上；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固体废弃物分类处理100%；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火灾事故发生率为0；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6月30日</w:t>
            </w:r>
            <w:r>
              <w:rPr>
                <w:rFonts w:hint="eastAsia"/>
              </w:rPr>
              <w:t>经检查考核能达标。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抽环境安全管理方案，明确了措施、责任人、时间、资金投入要求。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查火灾事故为零的管理方案，方法、措施/技术手段：火灾应急预案，管理部门：项目部；资金投入：财务应按本管理方案的要求提供资金，经管理者代表批准后实施。时间要求：在本年度内。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编制：行政部，批准：liulantao，日期：202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.5日。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查触电事故为零的管理方案，方法、措施/技术手段：每半年对电气线路进行专人检查；在各区域配备消防器材，管理部门：项目部、行政人事部；资金投入：2000元。时间要求：在本年度内。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编制：行政部，批准：liulantao，日期：202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.3.5日。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  <w:r>
              <w:rPr>
                <w:rFonts w:hint="eastAsia"/>
              </w:rPr>
              <w:t>管理方案由责任部门组织实施，目前在实施中，部分已完成。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</w:pP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color w:val="000000" w:themeColor="text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措施的策划</w:t>
            </w: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6.1.4</w:t>
            </w:r>
          </w:p>
        </w:tc>
        <w:tc>
          <w:tcPr>
            <w:tcW w:w="11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查“环境因素识别和评价表”，涉及行政部的环境因素有纸张使用能源消耗、办公场所吸烟污染环境、复印机打印机废墨盒处置污染环境、火灾发生后废弃物污染大气、水土等。考虑了生命周期观点。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查“重要环境因素清单”，列有办公活动的潜在火灾为重要环境因素。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查“危害辨识、风险评价、风险控制工作表”，识别了办公活动过程及相关方活动中的危险源，主要包括车辆伤害、火灾、中暑、其他伤害、机械伤害、其他伤害、起重伤害、物体打击等。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查“不可接受风险清单”，评价出行政部重大危险源包括：火灾伤害。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合规性评价</w:t>
            </w: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EO:6.1.3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1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编制了《法律法规和其他要求控制程序》，对法律法规的识别更新和应用进行规定。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介绍说，主要通过网络、报纸杂志电视等新闻媒体、购买、上级下发等多种形式收集本公司适用的法律法规。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《适用的法律法规及其他要求一览表》，识别了企业相关环境和职业健康安全法律法规、标准和其他要求，如：中华人民共和国环境保护法、中华人民共和国环境噪声污染防治法、中华人民共和国大气污染防治法、中华人民共和国水污染防治法、中华人民共和国固体废物污染环境防治法、中华人民共和国节约能源法、中华人民共和国职业病防治法、中华人民共和国消防法、中华人民共和国食品安全法、中华人民共和国特种设备安全法、中华人民共和国劳动法、中华人民共和国妇女权益保障法、中华人民共和国安全生产法等。共计75余项，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已识别法律法规及其它要求的适用条款，并与环境因素、危险源进行了对应。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公司通过培训、会议等方式向有关员工传达法律、法规及其它要求的相关要求。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编制了《合规性评价控制程序》，其中规定了对本公司法规及其他要求的合规性评价的要求。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提供了《合规性评价报告》，2022年1月26日对公司适用的法律法规及其他要求的遵守情况进行了评价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ind w:firstLine="396" w:firstLineChars="200"/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基本满足要求。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6" w:type="dxa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pStyle w:val="3"/>
              <w:rPr>
                <w:color w:val="000000" w:themeColor="text1"/>
                <w:szCs w:val="21"/>
              </w:rPr>
            </w:pPr>
          </w:p>
          <w:p>
            <w:pPr>
              <w:pStyle w:val="4"/>
              <w:rPr>
                <w:color w:val="000000" w:themeColor="text1"/>
                <w:szCs w:val="21"/>
              </w:rPr>
            </w:pPr>
          </w:p>
          <w:p>
            <w:pPr>
              <w:pStyle w:val="4"/>
              <w:rPr>
                <w:color w:val="000000" w:themeColor="text1"/>
                <w:szCs w:val="21"/>
              </w:rPr>
            </w:pPr>
          </w:p>
          <w:p>
            <w:pPr>
              <w:pStyle w:val="4"/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人员、能力、培训</w:t>
            </w:r>
          </w:p>
        </w:tc>
        <w:tc>
          <w:tcPr>
            <w:tcW w:w="1164" w:type="dxa"/>
          </w:tcPr>
          <w:p>
            <w:pPr>
              <w:pStyle w:val="18"/>
              <w:rPr>
                <w:bCs w:val="0"/>
                <w:color w:val="000000" w:themeColor="text1"/>
                <w:spacing w:val="0"/>
              </w:rPr>
            </w:pPr>
          </w:p>
          <w:p>
            <w:pPr>
              <w:pStyle w:val="18"/>
              <w:rPr>
                <w:bCs w:val="0"/>
                <w:color w:val="000000" w:themeColor="text1"/>
                <w:spacing w:val="0"/>
              </w:rPr>
            </w:pPr>
          </w:p>
          <w:p>
            <w:pPr>
              <w:pStyle w:val="18"/>
              <w:rPr>
                <w:bCs w:val="0"/>
                <w:color w:val="000000" w:themeColor="text1"/>
                <w:spacing w:val="0"/>
              </w:rPr>
            </w:pPr>
          </w:p>
          <w:p>
            <w:pPr>
              <w:pStyle w:val="18"/>
              <w:rPr>
                <w:bCs w:val="0"/>
                <w:color w:val="000000" w:themeColor="text1"/>
                <w:spacing w:val="0"/>
              </w:rPr>
            </w:pPr>
          </w:p>
          <w:p>
            <w:pPr>
              <w:pStyle w:val="18"/>
              <w:rPr>
                <w:bCs w:val="0"/>
                <w:color w:val="000000" w:themeColor="text1"/>
                <w:spacing w:val="0"/>
              </w:rPr>
            </w:pPr>
          </w:p>
          <w:p>
            <w:pPr>
              <w:pStyle w:val="18"/>
              <w:rPr>
                <w:bCs w:val="0"/>
                <w:color w:val="000000" w:themeColor="text1"/>
                <w:spacing w:val="0"/>
              </w:rPr>
            </w:pPr>
          </w:p>
          <w:p>
            <w:pPr>
              <w:pStyle w:val="18"/>
              <w:rPr>
                <w:bCs w:val="0"/>
                <w:color w:val="000000" w:themeColor="text1"/>
                <w:spacing w:val="0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Q：7.1.2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QEO：7.2，7.3</w:t>
            </w:r>
          </w:p>
          <w:p>
            <w:pPr>
              <w:pStyle w:val="18"/>
              <w:rPr>
                <w:bCs w:val="0"/>
                <w:color w:val="000000" w:themeColor="text1"/>
                <w:spacing w:val="0"/>
              </w:rPr>
            </w:pPr>
          </w:p>
        </w:tc>
        <w:tc>
          <w:tcPr>
            <w:tcW w:w="11012" w:type="dxa"/>
          </w:tcPr>
          <w:p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公司制定了《OSKJ.CX06-2018</w:t>
            </w: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>人力资源管理程序》，通过培训和其他措施提高员工的能力，增强员工的质量、环境与职业健康安全管理的意识，并胜任其工作岗位。使员工满足所从事的质量、环境、职业健康安全工作对能力的要求。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提供《岗位职责和权限》，对各部门人员等工作能力权限与内容等作出了规定。</w:t>
            </w:r>
          </w:p>
          <w:p>
            <w:pPr>
              <w:spacing w:line="360" w:lineRule="auto"/>
              <w:ind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查到“202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年度培训计划”，编制: 行政部，批准:liulantao，日期:202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年2月25日。培训内容涉及：标准、体系文件、内审员、岗位技能、环境、安全管理目标及方案、相关法规等。</w:t>
            </w: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查到：1、《培训记录及培训效果评价表》，202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.3.</w:t>
            </w:r>
            <w:r>
              <w:rPr>
                <w:rFonts w:hint="eastAsia"/>
                <w:color w:val="000000" w:themeColor="text1"/>
                <w:lang w:val="en-US" w:eastAsia="zh-CN"/>
              </w:rPr>
              <w:t>12</w:t>
            </w:r>
            <w:r>
              <w:rPr>
                <w:rFonts w:hint="eastAsia"/>
                <w:color w:val="000000" w:themeColor="text1"/>
              </w:rPr>
              <w:t>日ISO9001:2015/ ISO14001:2015/ISO45001:2018标准知识、概念培训，记录了培训内容摘要，通过现场提问答辩对培训效果予以考核评价，考核合格。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2、202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.3.1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</w:rPr>
              <w:t>日管理手册、程序文件培训，培训方式授课，有培训内容摘要，经现场讨论考核合格。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3、202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15</w:t>
            </w:r>
            <w:r>
              <w:rPr>
                <w:rFonts w:hint="eastAsia"/>
                <w:color w:val="000000" w:themeColor="text1"/>
              </w:rPr>
              <w:t>日环境安全法律法规培训，培训方式授课，有培训内容摘要，经现场讨论考核合格。</w:t>
            </w:r>
          </w:p>
          <w:p>
            <w:pPr>
              <w:spacing w:line="360" w:lineRule="auto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4、202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3日岗位技能培训，培训方式授课，有培训内容摘要，经现场讨论考核合格。</w:t>
            </w:r>
          </w:p>
          <w:p>
            <w:pPr>
              <w:spacing w:line="360" w:lineRule="auto"/>
              <w:ind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查无特种作业人员。</w:t>
            </w:r>
          </w:p>
          <w:p>
            <w:pPr>
              <w:pStyle w:val="7"/>
              <w:widowControl/>
              <w:spacing w:line="36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>企业已对人力资源的管理、控制进行了策划，并已实施控制，针对体系知识的系统深入学习进行了现场交流。</w:t>
            </w:r>
          </w:p>
          <w:p>
            <w:pPr>
              <w:pStyle w:val="7"/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组织的知识</w:t>
            </w:r>
          </w:p>
        </w:tc>
        <w:tc>
          <w:tcPr>
            <w:tcW w:w="1164" w:type="dxa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Q：7.1.6</w:t>
            </w:r>
          </w:p>
        </w:tc>
        <w:tc>
          <w:tcPr>
            <w:tcW w:w="11012" w:type="dxa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企业确定运行过程所需要的知识，包括专业知识、外部知识。提供了《组织知识清单》，有获取方法、更新方式、责任目标等。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</w:pPr>
            <w:r>
              <w:rPr>
                <w:rFonts w:hint="eastAsia"/>
              </w:rPr>
              <w:t>行政部负责整理收集组织相关的知识，定期更新。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意识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QES7.3</w:t>
            </w: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主要通过培训提高岗位作业水平及质量和环境、安全意识，明确各岗位要求，自身工作对环境、安全目标的影响，以及如何通过培训和互相交流提高环境绩效，不符合质量管理体系要求的后果等。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现场询问行政部人员，清楚与其相关的重要环境因素及职业健康安全风险。无变化。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56" w:type="dxa"/>
          </w:tcPr>
          <w:p>
            <w:pPr>
              <w:tabs>
                <w:tab w:val="center" w:pos="3169"/>
              </w:tabs>
              <w:spacing w:line="400" w:lineRule="exact"/>
              <w:ind w:firstLine="420" w:firstLineChars="200"/>
              <w:jc w:val="left"/>
            </w:pPr>
          </w:p>
          <w:p>
            <w:pPr>
              <w:pStyle w:val="3"/>
              <w:ind w:firstLine="420" w:firstLineChars="200"/>
              <w:rPr>
                <w:rFonts w:ascii="宋体" w:hAnsi="宋体" w:cs="宋体"/>
                <w:b w:val="0"/>
                <w:bCs w:val="0"/>
                <w:sz w:val="21"/>
                <w:szCs w:val="21"/>
                <w:lang w:bidi="ar"/>
              </w:rPr>
            </w:pPr>
          </w:p>
          <w:p>
            <w:pPr>
              <w:pStyle w:val="4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4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4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4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4"/>
              <w:rPr>
                <w:rFonts w:ascii="宋体" w:hAnsi="宋体" w:cs="宋体"/>
                <w:kern w:val="2"/>
                <w:szCs w:val="21"/>
                <w:lang w:bidi="ar"/>
              </w:rPr>
            </w:pPr>
          </w:p>
          <w:p>
            <w:pPr>
              <w:pStyle w:val="3"/>
              <w:ind w:firstLine="420" w:firstLineChars="200"/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bidi="ar"/>
              </w:rPr>
              <w:t>成文信息</w:t>
            </w:r>
          </w:p>
        </w:tc>
        <w:tc>
          <w:tcPr>
            <w:tcW w:w="1164" w:type="dxa"/>
          </w:tcPr>
          <w:p>
            <w:pPr>
              <w:tabs>
                <w:tab w:val="center" w:pos="3169"/>
              </w:tabs>
              <w:spacing w:line="400" w:lineRule="exact"/>
              <w:jc w:val="left"/>
            </w:pPr>
          </w:p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 xml:space="preserve">QEO：7.5 </w:t>
            </w:r>
          </w:p>
          <w:p>
            <w:pPr>
              <w:pStyle w:val="4"/>
              <w:ind w:left="0"/>
            </w:pPr>
          </w:p>
        </w:tc>
        <w:tc>
          <w:tcPr>
            <w:tcW w:w="11012" w:type="dxa"/>
          </w:tcPr>
          <w:p>
            <w:pPr>
              <w:tabs>
                <w:tab w:val="center" w:pos="3169"/>
              </w:tabs>
              <w:spacing w:line="400" w:lineRule="exact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编制了《OSKJ.CX01-2018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文件控制程序》、《OSKJ.CX03-2018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记录控制程序》，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由于扩大了认证范围，对管理手册和程序文件做了修改，版本号由A0改A1版，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体系文件生效实施日期为20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日，文件规定了质量、环境和安全职业健康文件的编制、审批、评审、编号、回收、发放、更改、换版、作废等的管理和控制。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查《受控文件清单 》，包括管理手册、程序文件及公司制定的管理制度等作业文件。</w:t>
            </w:r>
            <w:bookmarkStart w:id="1" w:name="_GoBack"/>
            <w:bookmarkEnd w:id="1"/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查：《文件、发放回收记录》，抽查文件发放情况，有收文、发文的确认签字，符合文件发放规定。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查：《质量管理体系认证范围内涉及产品/服务的标准清单》、《法律法规及其他要求清单》，内容有国家和地方与质量、环境和职业健康安全管理体系相关适用法律法规和执行标准DB37/T 2313-2013《智能变频电磁感应加热节能设备通用技术条件》等。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文件资料基本满足岗位工作需要，并为现行有效版本。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查文件的评审及更新：管理评审时对文件的适宜性及可操作性进行评审：适宜、可操作。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 xml:space="preserve">  查文件的作废：暂无作废文件。电子文档需要责任部门留下发放记录，并告知换页处置要求。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文件按需求和公司管理规定发放至有关部门和人员，查有发放记录，符合。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口头提出待改进项目：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未对电子文档的安全性管理做出明确规定。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提供《记录清单（含质量、环境安全）》，规定了记录的名称、编号、责任部门、保存期限等内容。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核对标准规定的应保留的记录和保存期限，标准所规定的记录均涵盖，保存期限规定的合理。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记录清单中对记录的管理、控制进行明确的分工。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行政部主要负责归档公司质量、环境及职业健康安全的标识、编目、保管、贮存，负责本程序的归口管理。见保管的记录：合规性评价表、固体废弃物处理登记表、Q/E/S运行情况检查记录、培训记录、危险源辨识和风险评价表等记录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所见记录反映行政部能够按照记录控制要求进行管理，记录保存完整，填写清晰、工整。记录控制符合要求。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5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内部审核</w:t>
            </w:r>
          </w:p>
        </w:tc>
        <w:tc>
          <w:tcPr>
            <w:tcW w:w="1164" w:type="dxa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QEO：</w:t>
            </w:r>
            <w:r>
              <w:rPr>
                <w:rFonts w:hint="eastAsia"/>
                <w:color w:val="000000" w:themeColor="text1"/>
                <w:szCs w:val="21"/>
              </w:rPr>
              <w:t>9.2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</w:p>
        </w:tc>
        <w:tc>
          <w:tcPr>
            <w:tcW w:w="1101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公司制定《内部审核控制程序OSKJ.CX07-2018》，对内部审核方案策划规定：内审每年进行一次，按部门/过程审核。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管代介绍内审的安排和做法，与程序文件“内部审核控制程序”相符。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查最近一次内审记录：202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.6.20-6.21进行，内审员:窦广录、朱玉芳，经过培训，并经总经理任命。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 xml:space="preserve">    查内审计划，涉及了所有部门及相关过程。计划编制合理，无漏条款现象。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查审核记录，符合计划安排。审核内容基本符合规定。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审核活动共提出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个不符合项：未能提供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合格供方的评审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记录。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查不符合项报告，不符合项报告事实描述清楚，原因分析到位，纠正措施及其验证合理。不符合项202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日验证关闭。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查内审报告：对体系文件和对体系的运作的符合性和有效性进行了评价，结论为：管理体系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建立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、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实施基本符合标准要求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和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管理体系文件要求。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重要环境因素、重大危险源均得到了有效的控制，没有出现相关方抱怨，也无环境、安全事故发生，能够遵循法律法规要求。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可迎接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第三方认证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改进建议：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1）由公司组织对管理体系文件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进一步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学习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，加强员工环境和职业健康安全意识教育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2）加强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监视和测量设备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的控制和管理；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3）加强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固废物和消防设施的管理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 xml:space="preserve">    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提供了内审员培训记录，审核员没有审核自己部门工作，具有独立性。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95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不合格和纠正措施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Ansi="宋体" w:cs="Arial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QEO：10.2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</w:p>
        </w:tc>
        <w:tc>
          <w:tcPr>
            <w:tcW w:w="11012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实施《OSKJ.CX08-2018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纠正措施和预防措施控制程序》、《OSKJ.CX17-2018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事件调查、事故处置、不符合控制程序》，对纠正预防措施识别、评审、验证，事故事件报告、调查、处理等作了规定，其内容符合组织实际及标准要求。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查纠正措施实施情况：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10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现场观察：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办公面积大约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100多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平方米，工作场所布局合理，座椅和办公桌符合人体工程学要求，员工有自我防护意识，工间能适当走动、休息；各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坐姿正确，避免过度疲劳；电脑显示器调整到保护视力的颜色；配置有适量的绿植，办公环境光照、温度适宜，通风良好，办公场所物品摆放整齐、有序，未见随意乱放私人物品的情况；满足办公需求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查见配置有灭火器，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微型消防站，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状态良好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5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消防通道、应急指示良好，</w:t>
            </w:r>
            <w:r>
              <w:rPr>
                <w:rFonts w:hint="eastAsia"/>
                <w:lang w:val="en-US" w:eastAsia="zh-CN"/>
              </w:rPr>
              <w:t>监控摄像头运行正常；</w:t>
            </w:r>
          </w:p>
          <w:p>
            <w:pPr>
              <w:pStyle w:val="5"/>
              <w:rPr>
                <w:rFonts w:hint="default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查见2022年1月至2022年6月消防设施检查记录，维护人：王文清，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节约用水用电、纸张双面使用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生活废水经市政管网排放；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办公环境安静，无明显噪声和废气；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办公垃圾由环卫部门收集处理；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办公用墨盒硒鼓等危废以旧换新；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8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eastAsia="zh-CN"/>
              </w:rPr>
              <w:t>应急准备和响应</w:t>
            </w: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8.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12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、查策划有《应急准备与响应控制程序》，编制有《</w:t>
            </w:r>
            <w:bookmarkStart w:id="0" w:name="组织名称"/>
            <w:r>
              <w:rPr>
                <w:sz w:val="24"/>
                <w:szCs w:val="24"/>
              </w:rPr>
              <w:t>欧森(天津)科技有限公司</w:t>
            </w:r>
            <w:bookmarkEnd w:id="0"/>
            <w:r>
              <w:rPr>
                <w:rFonts w:hint="eastAsia" w:cs="宋体"/>
                <w:sz w:val="24"/>
                <w:szCs w:val="24"/>
                <w:lang w:val="en-US" w:eastAsia="zh-CN"/>
              </w:rPr>
              <w:t>生产安全事故</w:t>
            </w:r>
            <w:r>
              <w:rPr>
                <w:rFonts w:hint="eastAsia" w:cs="宋体"/>
                <w:sz w:val="24"/>
                <w:szCs w:val="24"/>
              </w:rPr>
              <w:t>应急预案》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内有火灾事故、触电事故等现场应急处置措施</w:t>
            </w:r>
            <w:r>
              <w:rPr>
                <w:rFonts w:hint="eastAsia" w:cs="宋体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提供有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日“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消防演练记录</w:t>
            </w:r>
            <w:r>
              <w:rPr>
                <w:rFonts w:hint="eastAsia" w:cs="宋体"/>
                <w:sz w:val="24"/>
                <w:szCs w:val="24"/>
              </w:rPr>
              <w:t>”。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  <w:r>
              <w:rPr>
                <w:rFonts w:hint="eastAsia" w:cs="宋体"/>
                <w:sz w:val="24"/>
                <w:szCs w:val="24"/>
              </w:rPr>
              <w:t>演练时间：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 w:cs="宋体"/>
                <w:sz w:val="24"/>
                <w:szCs w:val="24"/>
              </w:rPr>
              <w:t>；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——</w:t>
            </w:r>
            <w:r>
              <w:rPr>
                <w:rFonts w:hint="eastAsia" w:cs="宋体"/>
                <w:sz w:val="24"/>
                <w:szCs w:val="24"/>
              </w:rPr>
              <w:t>演练组织部门：办公室；参加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生产、采购、销售、质量控制等。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  <w:r>
              <w:rPr>
                <w:rFonts w:hint="eastAsia" w:cs="宋体"/>
                <w:sz w:val="24"/>
                <w:szCs w:val="24"/>
              </w:rPr>
              <w:t>演练效果评价记录：通过演练，证明预案基本适宜，全体人员对预案的要求有了比较适宜的操作方法，可以有效履行预案的要求，对伤害事故起到良好的控制作用。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  <w:r>
              <w:rPr>
                <w:rFonts w:hint="eastAsia" w:cs="宋体"/>
                <w:sz w:val="24"/>
                <w:szCs w:val="24"/>
              </w:rPr>
              <w:t>对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火灾爆炸</w:t>
            </w:r>
            <w:r>
              <w:rPr>
                <w:rFonts w:hint="eastAsia" w:cs="宋体"/>
                <w:sz w:val="24"/>
                <w:szCs w:val="24"/>
              </w:rPr>
              <w:t>应急预案的适用性、可操作性进行评审；符合要求。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8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 w:val="24"/>
                <w:szCs w:val="24"/>
                <w:lang w:val="zh-CN"/>
              </w:rPr>
              <w:t>现场查看，办公区域配置了灭火器，在有效期内。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color w:val="000000" w:themeColor="text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cs="Times New Roman"/>
                <w:spacing w:val="-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u w:val="none"/>
              </w:rPr>
              <w:t>监视、测量、分析和评价总则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u w:val="none"/>
              </w:rPr>
              <w:t>分析与评价</w:t>
            </w: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QEO:9.1.1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Q:9.1.3</w:t>
            </w:r>
          </w:p>
        </w:tc>
        <w:tc>
          <w:tcPr>
            <w:tcW w:w="110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公司保持有“监视和测量控制程序”，有效文件，无变化。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保留“目标分解考核表”，对目标完成情况进行绩效考核；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查见“环境安全运行检查记录”，每月对设备维护、固废、能源消耗等进行了检查，均正常；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查见“消防器材台账及检查记录”，抽见202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1-6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，对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车间和办公区的灭火器和消防栓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等进行了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季度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检查，结果均正常；检查人签字；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未有上级主管部门的监督检查。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8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5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color w:val="000000" w:themeColor="text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Y</w:t>
            </w:r>
          </w:p>
        </w:tc>
      </w:tr>
    </w:tbl>
    <w:p>
      <w:pPr>
        <w:rPr>
          <w:rFonts w:ascii="宋体" w:hAnsi="宋体" w:cs="宋体"/>
        </w:rPr>
      </w:pPr>
    </w:p>
    <w:p>
      <w:pPr>
        <w:pStyle w:val="10"/>
      </w:pPr>
      <w:r>
        <w:rPr>
          <w:rFonts w:hint="eastAsia" w:ascii="宋体" w:hAnsi="宋体" w:cs="宋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1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074" o:spid="_x0000_s3074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22"/>
        <w:rFonts w:hint="default"/>
      </w:rPr>
      <w:t>北京国标联合认证有限公司</w:t>
    </w:r>
    <w:r>
      <w:rPr>
        <w:rStyle w:val="22"/>
        <w:rFonts w:hint="default"/>
      </w:rPr>
      <w:tab/>
    </w:r>
    <w:r>
      <w:rPr>
        <w:rStyle w:val="22"/>
        <w:rFonts w:hint="default"/>
      </w:rPr>
      <w:tab/>
    </w:r>
    <w:r>
      <w:rPr>
        <w:rStyle w:val="22"/>
        <w:rFonts w:hint="default"/>
      </w:rPr>
      <w:tab/>
    </w:r>
  </w:p>
  <w:p>
    <w:pPr>
      <w:pStyle w:val="11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22"/>
        <w:rFonts w:hint="default"/>
        <w:w w:val="90"/>
      </w:rPr>
      <w:t>Beijing International Standard united Certification Co.,Ltd.</w:t>
    </w: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none"/>
      <w:pStyle w:val="23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00FF7"/>
    <w:rsid w:val="000237F6"/>
    <w:rsid w:val="00023B43"/>
    <w:rsid w:val="0003373A"/>
    <w:rsid w:val="00044DAF"/>
    <w:rsid w:val="000459C0"/>
    <w:rsid w:val="00066D35"/>
    <w:rsid w:val="000956BC"/>
    <w:rsid w:val="000B6E9D"/>
    <w:rsid w:val="000F6865"/>
    <w:rsid w:val="001116D4"/>
    <w:rsid w:val="0012389C"/>
    <w:rsid w:val="00153A43"/>
    <w:rsid w:val="001A2D7F"/>
    <w:rsid w:val="001B7E9F"/>
    <w:rsid w:val="002118D6"/>
    <w:rsid w:val="00216381"/>
    <w:rsid w:val="00234E37"/>
    <w:rsid w:val="00254A7A"/>
    <w:rsid w:val="00281B96"/>
    <w:rsid w:val="002E3621"/>
    <w:rsid w:val="00337922"/>
    <w:rsid w:val="00340867"/>
    <w:rsid w:val="00380837"/>
    <w:rsid w:val="003A198A"/>
    <w:rsid w:val="003D70BA"/>
    <w:rsid w:val="00401F2F"/>
    <w:rsid w:val="00410914"/>
    <w:rsid w:val="0041643D"/>
    <w:rsid w:val="00433121"/>
    <w:rsid w:val="0047492E"/>
    <w:rsid w:val="004A4F33"/>
    <w:rsid w:val="00536930"/>
    <w:rsid w:val="00564E53"/>
    <w:rsid w:val="0056768F"/>
    <w:rsid w:val="005879D0"/>
    <w:rsid w:val="005C02C4"/>
    <w:rsid w:val="005C3A64"/>
    <w:rsid w:val="0060570F"/>
    <w:rsid w:val="00622820"/>
    <w:rsid w:val="00627713"/>
    <w:rsid w:val="0062773A"/>
    <w:rsid w:val="00644FE2"/>
    <w:rsid w:val="00647A10"/>
    <w:rsid w:val="0067640C"/>
    <w:rsid w:val="006915E5"/>
    <w:rsid w:val="006E678B"/>
    <w:rsid w:val="007127F7"/>
    <w:rsid w:val="00745EE4"/>
    <w:rsid w:val="00774C81"/>
    <w:rsid w:val="007757F3"/>
    <w:rsid w:val="0078006A"/>
    <w:rsid w:val="007803B7"/>
    <w:rsid w:val="00782094"/>
    <w:rsid w:val="007E6AEB"/>
    <w:rsid w:val="00852843"/>
    <w:rsid w:val="00866CA1"/>
    <w:rsid w:val="008737F4"/>
    <w:rsid w:val="00874FDD"/>
    <w:rsid w:val="00882229"/>
    <w:rsid w:val="00891F6C"/>
    <w:rsid w:val="008973EE"/>
    <w:rsid w:val="008C195C"/>
    <w:rsid w:val="008E0572"/>
    <w:rsid w:val="008E5768"/>
    <w:rsid w:val="0095298C"/>
    <w:rsid w:val="00971600"/>
    <w:rsid w:val="00986EEB"/>
    <w:rsid w:val="009973B4"/>
    <w:rsid w:val="009C28C1"/>
    <w:rsid w:val="009F7EED"/>
    <w:rsid w:val="00A1293D"/>
    <w:rsid w:val="00A4164D"/>
    <w:rsid w:val="00A6538E"/>
    <w:rsid w:val="00AA1825"/>
    <w:rsid w:val="00AF0AAB"/>
    <w:rsid w:val="00B224B7"/>
    <w:rsid w:val="00B73854"/>
    <w:rsid w:val="00BB196F"/>
    <w:rsid w:val="00BF58BC"/>
    <w:rsid w:val="00BF597E"/>
    <w:rsid w:val="00C16844"/>
    <w:rsid w:val="00C17DDB"/>
    <w:rsid w:val="00C51A36"/>
    <w:rsid w:val="00C55228"/>
    <w:rsid w:val="00C94F43"/>
    <w:rsid w:val="00C96CCE"/>
    <w:rsid w:val="00CA6ED4"/>
    <w:rsid w:val="00CB7E78"/>
    <w:rsid w:val="00CC1B87"/>
    <w:rsid w:val="00CD1E02"/>
    <w:rsid w:val="00CE315A"/>
    <w:rsid w:val="00CF0F23"/>
    <w:rsid w:val="00CF31C6"/>
    <w:rsid w:val="00CF762E"/>
    <w:rsid w:val="00D06F59"/>
    <w:rsid w:val="00D752D3"/>
    <w:rsid w:val="00D8388C"/>
    <w:rsid w:val="00D96161"/>
    <w:rsid w:val="00DC320B"/>
    <w:rsid w:val="00DE7C36"/>
    <w:rsid w:val="00E100BE"/>
    <w:rsid w:val="00E237BE"/>
    <w:rsid w:val="00E314B5"/>
    <w:rsid w:val="00E3334E"/>
    <w:rsid w:val="00E45728"/>
    <w:rsid w:val="00E52EAD"/>
    <w:rsid w:val="00E57D9B"/>
    <w:rsid w:val="00E84212"/>
    <w:rsid w:val="00EB0164"/>
    <w:rsid w:val="00ED0F62"/>
    <w:rsid w:val="00ED60A1"/>
    <w:rsid w:val="00F11FB9"/>
    <w:rsid w:val="00F65A06"/>
    <w:rsid w:val="00F925D6"/>
    <w:rsid w:val="00FB21AD"/>
    <w:rsid w:val="00FB3CEC"/>
    <w:rsid w:val="00FC439D"/>
    <w:rsid w:val="00FD49E3"/>
    <w:rsid w:val="00FD4D08"/>
    <w:rsid w:val="00FE38E2"/>
    <w:rsid w:val="01237055"/>
    <w:rsid w:val="014321E6"/>
    <w:rsid w:val="02602D37"/>
    <w:rsid w:val="02A361C3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EF04609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5E29DC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BF44C4"/>
    <w:rsid w:val="16F7510A"/>
    <w:rsid w:val="17924A21"/>
    <w:rsid w:val="17A67230"/>
    <w:rsid w:val="17BE048E"/>
    <w:rsid w:val="18327362"/>
    <w:rsid w:val="18D3715E"/>
    <w:rsid w:val="197C75B5"/>
    <w:rsid w:val="1A57282B"/>
    <w:rsid w:val="1AA210F7"/>
    <w:rsid w:val="1AC67B71"/>
    <w:rsid w:val="1B0065D0"/>
    <w:rsid w:val="1B087E14"/>
    <w:rsid w:val="1BAA2FBD"/>
    <w:rsid w:val="1CAD5010"/>
    <w:rsid w:val="1D1242D7"/>
    <w:rsid w:val="1D86717A"/>
    <w:rsid w:val="1DC36807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B709AE"/>
    <w:rsid w:val="22D7582D"/>
    <w:rsid w:val="23235F87"/>
    <w:rsid w:val="23732F32"/>
    <w:rsid w:val="24BD65A1"/>
    <w:rsid w:val="255D6D75"/>
    <w:rsid w:val="25C71E86"/>
    <w:rsid w:val="25D826BB"/>
    <w:rsid w:val="261D2BC4"/>
    <w:rsid w:val="263E019F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B612389"/>
    <w:rsid w:val="2C04664A"/>
    <w:rsid w:val="2C917839"/>
    <w:rsid w:val="2CAE49F5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6E72EF"/>
    <w:rsid w:val="32734E29"/>
    <w:rsid w:val="327711BB"/>
    <w:rsid w:val="32860EED"/>
    <w:rsid w:val="32A818D5"/>
    <w:rsid w:val="330F505D"/>
    <w:rsid w:val="33137513"/>
    <w:rsid w:val="3328502A"/>
    <w:rsid w:val="332B0841"/>
    <w:rsid w:val="33997DE2"/>
    <w:rsid w:val="34262394"/>
    <w:rsid w:val="34841756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51246"/>
    <w:rsid w:val="3D9A6CF0"/>
    <w:rsid w:val="3DB92AC4"/>
    <w:rsid w:val="3EC07009"/>
    <w:rsid w:val="3F1C24D3"/>
    <w:rsid w:val="3F1F20F4"/>
    <w:rsid w:val="3FFD17CC"/>
    <w:rsid w:val="40425DD8"/>
    <w:rsid w:val="406E64DA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587CD0"/>
    <w:rsid w:val="43B04046"/>
    <w:rsid w:val="44483C60"/>
    <w:rsid w:val="45BE3CAA"/>
    <w:rsid w:val="461A5941"/>
    <w:rsid w:val="461C30E9"/>
    <w:rsid w:val="463175C9"/>
    <w:rsid w:val="46A0119E"/>
    <w:rsid w:val="46B86DED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A6A2AFC"/>
    <w:rsid w:val="4B511DE2"/>
    <w:rsid w:val="4B7E721E"/>
    <w:rsid w:val="4C017549"/>
    <w:rsid w:val="4CFF3B84"/>
    <w:rsid w:val="4D4E2263"/>
    <w:rsid w:val="4EA8785F"/>
    <w:rsid w:val="4F9420A0"/>
    <w:rsid w:val="4FA333A8"/>
    <w:rsid w:val="4FA356F1"/>
    <w:rsid w:val="4FC219C0"/>
    <w:rsid w:val="50A05722"/>
    <w:rsid w:val="50FA26C7"/>
    <w:rsid w:val="512E3CA0"/>
    <w:rsid w:val="51B07021"/>
    <w:rsid w:val="52BF26AB"/>
    <w:rsid w:val="53444639"/>
    <w:rsid w:val="54454E66"/>
    <w:rsid w:val="546315FC"/>
    <w:rsid w:val="55204D35"/>
    <w:rsid w:val="552B454E"/>
    <w:rsid w:val="556D7264"/>
    <w:rsid w:val="55C73815"/>
    <w:rsid w:val="560554C2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5C20A2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2E84468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950C3F"/>
    <w:rsid w:val="64C23928"/>
    <w:rsid w:val="652C57B3"/>
    <w:rsid w:val="65967FA2"/>
    <w:rsid w:val="65D63B50"/>
    <w:rsid w:val="660A7F70"/>
    <w:rsid w:val="6626385E"/>
    <w:rsid w:val="67706016"/>
    <w:rsid w:val="68703317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4974FC"/>
    <w:rsid w:val="7259038B"/>
    <w:rsid w:val="725D5CB2"/>
    <w:rsid w:val="72716478"/>
    <w:rsid w:val="72724CB0"/>
    <w:rsid w:val="729970F7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7260C9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3A36A9"/>
    <w:rsid w:val="7B5444C2"/>
    <w:rsid w:val="7CC273FE"/>
    <w:rsid w:val="7CFB501D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Date"/>
    <w:basedOn w:val="1"/>
    <w:next w:val="1"/>
    <w:qFormat/>
    <w:uiPriority w:val="0"/>
    <w:pPr>
      <w:widowControl/>
      <w:ind w:left="100" w:leftChars="2500"/>
      <w:jc w:val="left"/>
    </w:pPr>
    <w:rPr>
      <w:kern w:val="0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360" w:lineRule="exact"/>
      <w:ind w:left="630" w:leftChars="300"/>
    </w:pPr>
    <w:rPr>
      <w:rFonts w:eastAsia="楷体_GB2312"/>
      <w:sz w:val="2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9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3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6002</Words>
  <Characters>6550</Characters>
  <Lines>32</Lines>
  <Paragraphs>9</Paragraphs>
  <TotalTime>3</TotalTime>
  <ScaleCrop>false</ScaleCrop>
  <LinksUpToDate>false</LinksUpToDate>
  <CharactersWithSpaces>6621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2022-08-06T00:25:22Z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D1F0177DBBC846859EA622580232C30A</vt:lpwstr>
  </property>
</Properties>
</file>