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0808-2021-EO-2022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福建省华增鞋业科技有限公司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福建省华增鞋业科技有限公司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福建省泉州市晋江市西滨镇思进村拥军路12号</w:t>
            </w:r>
            <w:bookmarkEnd w:id="6"/>
          </w:p>
        </w:tc>
        <w:tc>
          <w:tcPr>
            <w:tcW w:w="1242" w:type="dxa"/>
            <w:vMerge w:val="restart"/>
            <w:vAlign w:val="center"/>
          </w:tcPr>
          <w:p>
            <w:r>
              <w:rPr>
                <w:rFonts w:hint="eastAsia"/>
              </w:rPr>
              <w:t>邮编</w:t>
            </w:r>
          </w:p>
        </w:tc>
        <w:tc>
          <w:tcPr>
            <w:tcW w:w="1771" w:type="dxa"/>
          </w:tcPr>
          <w:p>
            <w:bookmarkStart w:id="7" w:name="注册邮编"/>
            <w:r>
              <w:t>362221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福建省泉州市晋江市西滨镇思进村拥军路12号</w:t>
            </w:r>
            <w:bookmarkEnd w:id="8"/>
          </w:p>
        </w:tc>
        <w:tc>
          <w:tcPr>
            <w:tcW w:w="1242" w:type="dxa"/>
            <w:vMerge w:val="continue"/>
            <w:vAlign w:val="center"/>
          </w:tcPr>
          <w:p/>
        </w:tc>
        <w:tc>
          <w:tcPr>
            <w:tcW w:w="1771" w:type="dxa"/>
          </w:tcPr>
          <w:p>
            <w:bookmarkStart w:id="9" w:name="办公邮编"/>
            <w:r>
              <w:t>362221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sz w:val="21"/>
                <w:szCs w:val="21"/>
              </w:rPr>
              <w:t>梁启军</w:t>
            </w:r>
          </w:p>
        </w:tc>
        <w:tc>
          <w:tcPr>
            <w:tcW w:w="1313" w:type="dxa"/>
            <w:vAlign w:val="center"/>
          </w:tcPr>
          <w:p>
            <w:r>
              <w:rPr>
                <w:rFonts w:hint="eastAsia"/>
              </w:rPr>
              <w:t>电话.</w:t>
            </w:r>
          </w:p>
        </w:tc>
        <w:tc>
          <w:tcPr>
            <w:tcW w:w="2180" w:type="dxa"/>
            <w:vAlign w:val="center"/>
          </w:tcPr>
          <w:p>
            <w:r>
              <w:rPr>
                <w:rFonts w:hint="eastAsia"/>
                <w:sz w:val="21"/>
                <w:szCs w:val="21"/>
              </w:rPr>
              <w:t>18396225800</w:t>
            </w:r>
            <w:bookmarkStart w:id="31" w:name="_GoBack"/>
            <w:bookmarkEnd w:id="31"/>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倪小强</w:t>
            </w:r>
            <w:bookmarkEnd w:id="11"/>
          </w:p>
        </w:tc>
        <w:tc>
          <w:tcPr>
            <w:tcW w:w="1313" w:type="dxa"/>
            <w:vAlign w:val="center"/>
          </w:tcPr>
          <w:p>
            <w:r>
              <w:rPr>
                <w:rFonts w:hint="eastAsia"/>
              </w:rPr>
              <w:t>管理者代表</w:t>
            </w:r>
          </w:p>
        </w:tc>
        <w:tc>
          <w:tcPr>
            <w:tcW w:w="2180" w:type="dxa"/>
          </w:tcPr>
          <w:p>
            <w:r>
              <w:rPr>
                <w:rFonts w:hint="eastAsia"/>
                <w:sz w:val="24"/>
                <w:szCs w:val="24"/>
              </w:rPr>
              <w:t>梁启军</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bidi w:val="0"/>
              <w:rPr>
                <w:rFonts w:hint="eastAsia" w:eastAsia="宋体"/>
                <w:b/>
                <w:szCs w:val="21"/>
                <w:lang w:eastAsia="zh-CN"/>
              </w:rPr>
            </w:pPr>
            <w:r>
              <w:rPr>
                <w:rFonts w:hint="eastAsia" w:ascii="宋体" w:hAnsi="宋体"/>
                <w:szCs w:val="21"/>
              </w:rPr>
              <w:t>接订单—&gt;合同评审—&gt;签订合同—&gt;组织货源—&gt;验货—&gt;发货—&gt;售后服务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2022年07月25日 上午至2022年07月26日 上午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bookmarkStart w:id="14" w:name="监督勾选"/>
            <w:r>
              <w:rPr>
                <w:rFonts w:hint="eastAsia"/>
              </w:rPr>
              <w:t>■</w:t>
            </w:r>
            <w:bookmarkEnd w:id="14"/>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8" w:name="QJ勾选Add1"/>
            <w:r>
              <w:rPr>
                <w:rFonts w:hint="eastAsia"/>
                <w:lang w:val="de-DE"/>
              </w:rPr>
              <w:t>□</w:t>
            </w:r>
            <w:bookmarkEnd w:id="18"/>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福建省泉州市晋江市西滨镇思进村拥军路12号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E：休闲运动鞋的销售所涉及场所的相关环境管理活动</w:t>
            </w:r>
          </w:p>
          <w:p>
            <w:r>
              <w:t>O：休闲运动鞋的销售所涉及场所的相关职业健康安全管理活动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E：29.05.06</w:t>
            </w:r>
          </w:p>
          <w:p>
            <w:r>
              <w:t>O：29.05.06</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sz w:val="21"/>
                <w:szCs w:val="21"/>
              </w:rPr>
              <w:t>福建省华增鞋业科技有限公司</w:t>
            </w:r>
            <w:r>
              <w:rPr>
                <w:rFonts w:hint="eastAsia"/>
                <w:sz w:val="21"/>
                <w:szCs w:val="21"/>
                <w:lang w:eastAsia="zh-CN"/>
              </w:rPr>
              <w:t>；</w:t>
            </w:r>
            <w:r>
              <w:rPr>
                <w:rFonts w:asciiTheme="minorEastAsia" w:hAnsiTheme="minorEastAsia" w:eastAsiaTheme="minorEastAsia"/>
                <w:sz w:val="20"/>
              </w:rPr>
              <w:t>福建省泉州市晋江市西滨镇思进村拥军路12号</w:t>
            </w:r>
          </w:p>
        </w:tc>
        <w:tc>
          <w:tcPr>
            <w:tcW w:w="2267" w:type="dxa"/>
          </w:tcPr>
          <w:p>
            <w:pPr>
              <w:rPr>
                <w:lang w:val="de-DE" w:eastAsia="ja-JP"/>
              </w:rPr>
            </w:pPr>
            <w:r>
              <w:rPr>
                <w:rFonts w:asciiTheme="minorEastAsia" w:hAnsiTheme="minorEastAsia" w:eastAsiaTheme="minorEastAsia"/>
                <w:sz w:val="20"/>
              </w:rPr>
              <w:t>福建省泉州市晋江市西滨镇思进村拥军路12号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widowControl/>
              <w:jc w:val="left"/>
              <w:rPr>
                <w:rFonts w:ascii="宋体" w:hAnsi="宋体" w:cs="宋体"/>
                <w:color w:val="000000"/>
                <w:kern w:val="0"/>
                <w:szCs w:val="21"/>
              </w:rPr>
            </w:pPr>
            <w:r>
              <w:rPr>
                <w:rFonts w:ascii="宋体" w:hAnsi="宋体" w:cs="宋体"/>
                <w:color w:val="000000"/>
                <w:kern w:val="0"/>
                <w:szCs w:val="21"/>
              </w:rPr>
              <w:t>E：休闲运动鞋的销售所涉及场所的相关环境管理活动</w:t>
            </w:r>
          </w:p>
          <w:p>
            <w:pPr>
              <w:rPr>
                <w:lang w:eastAsia="ja-JP"/>
              </w:rPr>
            </w:pPr>
            <w:r>
              <w:rPr>
                <w:rFonts w:ascii="宋体" w:hAnsi="宋体" w:cs="宋体"/>
                <w:color w:val="000000"/>
                <w:kern w:val="0"/>
                <w:szCs w:val="21"/>
              </w:rPr>
              <w:t>O：休闲运动鞋的销售所涉及场所的相关职业健康安全管理活动</w:t>
            </w:r>
          </w:p>
        </w:tc>
        <w:tc>
          <w:tcPr>
            <w:tcW w:w="669" w:type="dxa"/>
            <w:vAlign w:val="center"/>
          </w:tcPr>
          <w:p>
            <w:pPr>
              <w:rPr>
                <w:lang w:eastAsia="ja-JP"/>
              </w:rPr>
            </w:pP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2020-N1EMS-2226478</w:t>
            </w:r>
          </w:p>
          <w:p>
            <w:r>
              <w:t>2020-N1OHSMS-2226478</w:t>
            </w:r>
          </w:p>
        </w:tc>
        <w:tc>
          <w:tcPr>
            <w:tcW w:w="2179" w:type="dxa"/>
            <w:vAlign w:val="center"/>
          </w:tcPr>
          <w:p>
            <w:r>
              <w:t>E:29.05.06</w:t>
            </w:r>
          </w:p>
          <w:p>
            <w:r>
              <w:t>O:29.05.06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524510" cy="280670"/>
                  <wp:effectExtent l="0" t="0" r="8890" b="8890"/>
                  <wp:docPr id="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527f178761179e49e527589a9ef90"/>
                          <pic:cNvPicPr>
                            <a:picLocks noChangeAspect="1"/>
                          </pic:cNvPicPr>
                        </pic:nvPicPr>
                        <pic:blipFill>
                          <a:blip r:embed="rId6">
                            <a:biLevel thresh="50000"/>
                            <a:grayscl/>
                          </a:blip>
                          <a:stretch>
                            <a:fillRect/>
                          </a:stretch>
                        </pic:blipFill>
                        <pic:spPr>
                          <a:xfrm>
                            <a:off x="0" y="0"/>
                            <a:ext cx="524510" cy="28067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52"/>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pStyle w:val="24"/>
              <w:rPr>
                <w:rFonts w:hint="eastAsia" w:ascii="宋体" w:hAnsi="宋体" w:eastAsia="宋体" w:cs="宋体"/>
                <w:b/>
                <w:bCs w:val="0"/>
                <w:sz w:val="24"/>
                <w:szCs w:val="24"/>
              </w:rPr>
            </w:pPr>
            <w:r>
              <w:rPr>
                <w:rFonts w:hint="eastAsia" w:ascii="宋体" w:hAnsi="宋体" w:eastAsia="宋体" w:cs="宋体"/>
                <w:b/>
                <w:bCs w:val="0"/>
                <w:sz w:val="24"/>
                <w:szCs w:val="24"/>
              </w:rPr>
              <w:t>遵纪守法，爱护环境。</w:t>
            </w:r>
          </w:p>
          <w:p>
            <w:pPr>
              <w:pStyle w:val="24"/>
              <w:rPr>
                <w:rFonts w:hint="eastAsia" w:ascii="宋体" w:hAnsi="宋体" w:eastAsia="宋体" w:cs="宋体"/>
                <w:b/>
                <w:bCs w:val="0"/>
                <w:sz w:val="24"/>
                <w:szCs w:val="24"/>
              </w:rPr>
            </w:pPr>
            <w:r>
              <w:rPr>
                <w:rFonts w:hint="eastAsia" w:ascii="宋体" w:hAnsi="宋体" w:eastAsia="宋体" w:cs="宋体"/>
                <w:b/>
                <w:bCs w:val="0"/>
                <w:sz w:val="24"/>
                <w:szCs w:val="24"/>
              </w:rPr>
              <w:t>安全第一，持续改进。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ascii="宋体" w:hAnsi="宋体" w:eastAsia="宋体" w:cs="宋体"/>
                <w:b/>
                <w:sz w:val="24"/>
                <w:szCs w:val="24"/>
                <w:lang w:val="en-US" w:eastAsia="zh-CN"/>
              </w:rPr>
              <w:t>人事行政部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lang w:val="en-US" w:eastAsia="zh-CN"/>
                    </w:rPr>
                  </w:pPr>
                  <w:r>
                    <w:rPr>
                      <w:rFonts w:hint="eastAsia"/>
                    </w:rPr>
                    <w:t>固废排放</w:t>
                  </w:r>
                </w:p>
              </w:tc>
              <w:tc>
                <w:tcPr>
                  <w:tcW w:w="3965" w:type="dxa"/>
                </w:tcPr>
                <w:p>
                  <w:pPr>
                    <w:shd w:val="clear" w:color="auto" w:fill="EBF1DE" w:themeFill="accent3" w:themeFillTint="32"/>
                    <w:rPr>
                      <w:rFonts w:hint="eastAsia"/>
                    </w:rPr>
                  </w:pPr>
                  <w:r>
                    <w:rPr>
                      <w:rFonts w:hint="eastAsia"/>
                    </w:rPr>
                    <w:t>运行控制</w:t>
                  </w:r>
                  <w:r>
                    <w:rPr>
                      <w:rFonts w:hint="eastAsia"/>
                      <w:lang w:eastAsia="zh-CN"/>
                    </w:rPr>
                    <w:t>、</w:t>
                  </w:r>
                  <w:r>
                    <w:rPr>
                      <w:rFonts w:hint="eastAsia"/>
                    </w:rPr>
                    <w:t>管理方案</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lang w:val="en-US" w:eastAsia="zh-CN"/>
                    </w:rPr>
                    <w:t>潜在火灾事故的发生</w:t>
                  </w:r>
                </w:p>
              </w:tc>
              <w:tc>
                <w:tcPr>
                  <w:tcW w:w="3965" w:type="dxa"/>
                </w:tcPr>
                <w:p>
                  <w:pPr>
                    <w:shd w:val="clear" w:color="auto" w:fill="EBF1DE" w:themeFill="accent3" w:themeFillTint="32"/>
                    <w:rPr>
                      <w:rFonts w:hint="eastAsia"/>
                    </w:rPr>
                  </w:pPr>
                  <w:r>
                    <w:rPr>
                      <w:rFonts w:hint="eastAsia"/>
                    </w:rPr>
                    <w:t>运行控制</w:t>
                  </w:r>
                  <w:r>
                    <w:rPr>
                      <w:rFonts w:hint="eastAsia"/>
                      <w:lang w:eastAsia="zh-CN"/>
                    </w:rPr>
                    <w:t>、</w:t>
                  </w:r>
                  <w:r>
                    <w:rPr>
                      <w:rFonts w:hint="eastAsia"/>
                    </w:rPr>
                    <w:t>管理方案</w:t>
                  </w:r>
                  <w:r>
                    <w:rPr>
                      <w:rFonts w:hint="eastAsia"/>
                      <w:lang w:eastAsia="zh-CN"/>
                    </w:rPr>
                    <w:t>、</w:t>
                  </w:r>
                  <w:r>
                    <w:rPr>
                      <w:rFonts w:hint="eastAsia"/>
                    </w:rPr>
                    <w:t>应急预案</w:t>
                  </w:r>
                </w:p>
                <w:p>
                  <w:pPr>
                    <w:shd w:val="clear" w:color="auto" w:fill="EBF1DE" w:themeFill="accent3" w:themeFillTint="32"/>
                    <w:rPr>
                      <w:rFonts w:hint="eastAsia"/>
                      <w:lang w:eastAsia="zh-CN"/>
                    </w:rPr>
                  </w:pPr>
                </w:p>
              </w:tc>
              <w:tc>
                <w:tcPr>
                  <w:tcW w:w="1717" w:type="dxa"/>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bCs/>
                      <w:sz w:val="24"/>
                      <w:lang w:val="en-US" w:eastAsia="zh-CN"/>
                    </w:rPr>
                    <w:t>1、</w:t>
                  </w:r>
                  <w:r>
                    <w:rPr>
                      <w:rFonts w:hint="eastAsia"/>
                      <w:bCs/>
                      <w:sz w:val="24"/>
                    </w:rPr>
                    <w:t>固体废弃物分类处理率达100%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bCs/>
                      <w:sz w:val="24"/>
                      <w:lang w:val="en-US" w:eastAsia="zh-CN"/>
                    </w:rPr>
                    <w:t>运行控制、管理方案</w:t>
                  </w:r>
                </w:p>
              </w:tc>
              <w:tc>
                <w:tcPr>
                  <w:tcW w:w="1350" w:type="dxa"/>
                  <w:shd w:val="clear" w:color="auto" w:fill="auto"/>
                  <w:vAlign w:val="center"/>
                </w:tcPr>
                <w:p>
                  <w:pPr>
                    <w:shd w:val="clear" w:color="auto" w:fill="EBF1DE" w:themeFill="accent3" w:themeFillTint="32"/>
                    <w:rPr>
                      <w:lang w:val="en-GB"/>
                    </w:rPr>
                  </w:pPr>
                  <w:r>
                    <w:rPr>
                      <w:rFonts w:hint="eastAsia" w:ascii="宋体" w:hAnsi="宋体" w:eastAsia="宋体" w:cs="宋体"/>
                      <w:b/>
                      <w:sz w:val="24"/>
                      <w:szCs w:val="24"/>
                      <w:lang w:val="en-US" w:eastAsia="zh-CN"/>
                    </w:rPr>
                    <w:t>人事行政部</w:t>
                  </w:r>
                </w:p>
              </w:tc>
              <w:tc>
                <w:tcPr>
                  <w:tcW w:w="1774" w:type="dxa"/>
                  <w:shd w:val="clear" w:color="auto" w:fill="auto"/>
                  <w:vAlign w:val="center"/>
                </w:tcPr>
                <w:p>
                  <w:pPr>
                    <w:shd w:val="clear" w:color="auto" w:fill="EBF1DE" w:themeFill="accent3" w:themeFillTint="32"/>
                    <w:jc w:val="center"/>
                    <w:rPr>
                      <w:rFonts w:ascii="宋体" w:hAnsi="宋体"/>
                      <w:lang w:val="en-GB"/>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bCs/>
                      <w:sz w:val="24"/>
                    </w:rPr>
                    <w:t>杜绝</w:t>
                  </w:r>
                  <w:r>
                    <w:rPr>
                      <w:rFonts w:hint="eastAsia"/>
                      <w:bCs/>
                      <w:sz w:val="24"/>
                      <w:lang w:val="en-US" w:eastAsia="zh-CN"/>
                    </w:rPr>
                    <w:t>火灾</w:t>
                  </w:r>
                  <w:r>
                    <w:rPr>
                      <w:bCs/>
                      <w:sz w:val="24"/>
                    </w:rPr>
                    <w:t>事故</w:t>
                  </w:r>
                  <w:r>
                    <w:rPr>
                      <w:rFonts w:hint="eastAsia"/>
                      <w:bCs/>
                      <w:sz w:val="24"/>
                    </w:rPr>
                    <w:t>；</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bCs/>
                      <w:sz w:val="24"/>
                      <w:lang w:val="en-US" w:eastAsia="zh-CN"/>
                    </w:rPr>
                    <w:t>运行控制、管理方案、应急预案及演练</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eastAsia="宋体" w:cs="宋体"/>
                      <w:b/>
                      <w:sz w:val="24"/>
                      <w:szCs w:val="24"/>
                      <w:lang w:val="en-US" w:eastAsia="zh-CN"/>
                    </w:rPr>
                    <w:t>人事行政部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highlight w:val="none"/>
              </w:rPr>
              <w:t>建筑面积</w:t>
            </w:r>
            <w:r>
              <w:rPr>
                <w:rFonts w:hint="eastAsia"/>
                <w:highlight w:val="none"/>
                <w:lang w:val="en-US" w:eastAsia="zh-CN"/>
              </w:rPr>
              <w:t>100</w:t>
            </w:r>
            <w:r>
              <w:rPr>
                <w:rFonts w:hint="eastAsia"/>
                <w:highlight w:val="none"/>
              </w:rPr>
              <w:t>平方米；</w:t>
            </w:r>
            <w:r>
              <w:rPr>
                <w:rFonts w:hint="eastAsia"/>
              </w:rPr>
              <w:t>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垃圾篓/桶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成品采购</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运行控制、应急预案及演练</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24"/>
              <w:rPr>
                <w:rFonts w:hint="eastAsia" w:ascii="宋体" w:hAnsi="宋体" w:eastAsia="宋体" w:cs="宋体"/>
                <w:b/>
                <w:bCs w:val="0"/>
                <w:sz w:val="24"/>
                <w:szCs w:val="24"/>
              </w:rPr>
            </w:pPr>
            <w:r>
              <w:rPr>
                <w:rFonts w:hint="eastAsia" w:ascii="宋体" w:hAnsi="宋体" w:eastAsia="宋体" w:cs="宋体"/>
                <w:b/>
                <w:bCs w:val="0"/>
                <w:sz w:val="24"/>
                <w:szCs w:val="24"/>
              </w:rPr>
              <w:t>遵纪守法，爱护环境。</w:t>
            </w:r>
          </w:p>
          <w:p>
            <w:pPr>
              <w:pStyle w:val="24"/>
              <w:rPr>
                <w:rFonts w:hint="eastAsia" w:ascii="宋体" w:hAnsi="宋体" w:eastAsia="宋体" w:cs="宋体"/>
                <w:b/>
                <w:bCs w:val="0"/>
                <w:sz w:val="24"/>
                <w:szCs w:val="24"/>
              </w:rPr>
            </w:pPr>
            <w:r>
              <w:rPr>
                <w:rFonts w:hint="eastAsia" w:ascii="宋体" w:hAnsi="宋体" w:eastAsia="宋体" w:cs="宋体"/>
                <w:b/>
                <w:bCs w:val="0"/>
                <w:sz w:val="24"/>
                <w:szCs w:val="24"/>
              </w:rPr>
              <w:t>安全第一，持续改进。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人事行政部</w:t>
            </w:r>
          </w:p>
          <w:p>
            <w:pPr>
              <w:rPr>
                <w:rFonts w:hint="eastAsia" w:eastAsia="宋体"/>
                <w:lang w:val="en-US" w:eastAsia="zh-CN"/>
              </w:rPr>
            </w:pPr>
            <w:r>
              <w:rPr>
                <w:rFonts w:hint="eastAsia"/>
              </w:rPr>
              <w:t>安全的主管部门是——</w:t>
            </w:r>
            <w:r>
              <w:rPr>
                <w:rFonts w:hint="eastAsia"/>
                <w:lang w:val="en-US" w:eastAsia="zh-CN"/>
              </w:rPr>
              <w:t>人事行政部</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sz w:val="21"/>
                <w:szCs w:val="21"/>
                <w:lang w:val="en-US" w:eastAsia="zh-CN"/>
              </w:rPr>
              <w:t>李俊忙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450" w:lineRule="atLeast"/>
                    <w:jc w:val="left"/>
                    <w:rPr>
                      <w:rFonts w:hint="eastAsia" w:ascii="Arial Narrow" w:hAnsi="Arial Narrow" w:eastAsia="宋体" w:cs="宋体"/>
                      <w:kern w:val="0"/>
                      <w:sz w:val="21"/>
                      <w:szCs w:val="21"/>
                      <w:lang w:val="en-US" w:eastAsia="zh-CN" w:bidi="ar-SA"/>
                    </w:rPr>
                  </w:pPr>
                  <w:r>
                    <w:rPr>
                      <w:rFonts w:hint="eastAsia" w:ascii="Arial Narrow" w:hAnsi="Arial Narrow" w:cs="宋体"/>
                      <w:color w:val="00B050"/>
                      <w:kern w:val="0"/>
                      <w:szCs w:val="21"/>
                    </w:rPr>
                    <w:t>当地居民及社团不接受污染物排放</w:t>
                  </w:r>
                  <w:r>
                    <w:rPr>
                      <w:rFonts w:hint="eastAsia" w:ascii="Arial Narrow" w:hAnsi="Arial Narrow" w:cs="宋体"/>
                      <w:color w:val="00B050"/>
                      <w:kern w:val="0"/>
                      <w:szCs w:val="21"/>
                      <w:lang w:eastAsia="zh-CN"/>
                    </w:rPr>
                    <w:t>；</w:t>
                  </w:r>
                  <w:r>
                    <w:rPr>
                      <w:rFonts w:hint="eastAsia" w:ascii="Arial Narrow" w:hAnsi="Arial Narrow" w:cs="宋体"/>
                      <w:color w:val="00B050"/>
                      <w:kern w:val="0"/>
                      <w:szCs w:val="21"/>
                    </w:rPr>
                    <w:t>消防管理及人员职业健康安全管理的要求日趋严格。</w:t>
                  </w:r>
                </w:p>
              </w:tc>
              <w:tc>
                <w:tcPr>
                  <w:tcW w:w="3965" w:type="dxa"/>
                </w:tcPr>
                <w:p>
                  <w:r>
                    <w:rPr>
                      <w:rFonts w:hint="eastAsia" w:ascii="宋体" w:hAnsi="宋体"/>
                      <w:szCs w:val="21"/>
                      <w:lang w:eastAsia="zh-CN"/>
                    </w:rPr>
                    <w:t>运行控制、管理方案、应急预案</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450" w:lineRule="atLeast"/>
                    <w:jc w:val="left"/>
                    <w:rPr>
                      <w:rFonts w:hint="eastAsia" w:ascii="Arial Narrow" w:hAnsi="Arial Narrow" w:eastAsia="宋体" w:cs="宋体"/>
                      <w:kern w:val="0"/>
                      <w:sz w:val="21"/>
                      <w:szCs w:val="21"/>
                      <w:lang w:val="en-US" w:eastAsia="zh-CN" w:bidi="ar-SA"/>
                    </w:rPr>
                  </w:p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lang w:val="en-US"/>
                    </w:rPr>
                  </w:p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numPr>
                      <w:ilvl w:val="0"/>
                      <w:numId w:val="2"/>
                    </w:numPr>
                    <w:spacing w:line="410" w:lineRule="exact"/>
                    <w:ind w:firstLine="560" w:firstLineChars="200"/>
                    <w:rPr>
                      <w:rFonts w:hint="eastAsia" w:ascii="Arial" w:hAnsi="Arial" w:cs="Arial"/>
                      <w:sz w:val="28"/>
                      <w:szCs w:val="28"/>
                      <w:lang w:val="en-US" w:eastAsia="zh-CN"/>
                    </w:rPr>
                  </w:pPr>
                  <w:r>
                    <w:rPr>
                      <w:rFonts w:hint="eastAsia" w:ascii="Arial" w:hAnsi="Arial" w:cs="Arial"/>
                      <w:sz w:val="28"/>
                      <w:szCs w:val="28"/>
                      <w:lang w:val="en-US" w:eastAsia="zh-CN"/>
                    </w:rPr>
                    <w:t>火灾、</w:t>
                  </w:r>
                  <w:r>
                    <w:rPr>
                      <w:rFonts w:hint="eastAsia" w:ascii="Arial" w:hAnsi="Arial" w:cs="Arial"/>
                      <w:sz w:val="28"/>
                      <w:szCs w:val="28"/>
                    </w:rPr>
                    <w:t>触电</w:t>
                  </w:r>
                  <w:r>
                    <w:rPr>
                      <w:rFonts w:hint="eastAsia" w:ascii="Arial" w:hAnsi="Arial" w:cs="Arial"/>
                      <w:sz w:val="28"/>
                      <w:szCs w:val="28"/>
                      <w:lang w:val="en-US" w:eastAsia="zh-CN"/>
                    </w:rPr>
                    <w:t>事故为0次/年;</w:t>
                  </w:r>
                </w:p>
                <w:p>
                  <w:pPr>
                    <w:numPr>
                      <w:ilvl w:val="0"/>
                      <w:numId w:val="2"/>
                    </w:numPr>
                    <w:spacing w:line="410" w:lineRule="exact"/>
                    <w:ind w:firstLine="560" w:firstLineChars="200"/>
                    <w:rPr>
                      <w:rFonts w:hint="eastAsia" w:ascii="Arial" w:hAnsi="Arial" w:cs="Arial"/>
                      <w:sz w:val="28"/>
                      <w:szCs w:val="28"/>
                      <w:lang w:val="en-US" w:eastAsia="zh-CN"/>
                    </w:rPr>
                  </w:pPr>
                  <w:r>
                    <w:rPr>
                      <w:rFonts w:hint="eastAsia" w:ascii="Arial" w:hAnsi="Arial" w:cs="Arial"/>
                      <w:sz w:val="28"/>
                      <w:szCs w:val="28"/>
                      <w:lang w:val="en-US" w:eastAsia="zh-CN"/>
                    </w:rPr>
                    <w:t>交通意外事故为0次/年。</w:t>
                  </w:r>
                </w:p>
                <w:p>
                  <w:pPr>
                    <w:numPr>
                      <w:ilvl w:val="0"/>
                      <w:numId w:val="0"/>
                    </w:numPr>
                    <w:spacing w:line="410" w:lineRule="exact"/>
                    <w:rPr>
                      <w:rFonts w:hint="eastAsia" w:ascii="Arial" w:hAnsi="Arial" w:cs="Arial"/>
                      <w:sz w:val="28"/>
                      <w:szCs w:val="28"/>
                      <w:lang w:val="en-US" w:eastAsia="zh-CN"/>
                    </w:rPr>
                  </w:pPr>
                </w:p>
                <w:p>
                  <w:pPr>
                    <w:rPr>
                      <w:b/>
                      <w:bCs/>
                    </w:rPr>
                  </w:pPr>
                </w:p>
              </w:tc>
              <w:tc>
                <w:tcPr>
                  <w:tcW w:w="3136" w:type="dxa"/>
                  <w:shd w:val="clear" w:color="auto" w:fill="auto"/>
                  <w:vAlign w:val="center"/>
                </w:tcPr>
                <w:p>
                  <w:pPr>
                    <w:rPr>
                      <w:lang w:val="en-GB"/>
                    </w:rPr>
                  </w:pPr>
                  <w:r>
                    <w:rPr>
                      <w:rFonts w:hint="eastAsia" w:ascii="宋体" w:hAnsi="宋体"/>
                      <w:szCs w:val="21"/>
                      <w:lang w:eastAsia="zh-CN"/>
                    </w:rPr>
                    <w:t>运行控制、管理方案、应急预案</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highlight w:val="none"/>
              </w:rPr>
              <w:t>建筑面积</w:t>
            </w:r>
            <w:r>
              <w:rPr>
                <w:rFonts w:hint="eastAsia"/>
                <w:highlight w:val="none"/>
                <w:lang w:val="en-US" w:eastAsia="zh-CN"/>
              </w:rPr>
              <w:t>100</w:t>
            </w:r>
            <w:r>
              <w:rPr>
                <w:rFonts w:hint="eastAsia"/>
                <w:highlight w:val="none"/>
              </w:rPr>
              <w:t>平方米；生</w:t>
            </w:r>
            <w:r>
              <w:rPr>
                <w:rFonts w:hint="eastAsia"/>
              </w:rPr>
              <w:t>产车间个；库房个；实验室个；</w:t>
            </w:r>
          </w:p>
          <w:p>
            <w:pPr>
              <w:rPr>
                <w:u w:val="single"/>
              </w:rPr>
            </w:pPr>
            <w:r>
              <w:rPr>
                <w:rFonts w:hint="eastAsia"/>
              </w:rPr>
              <w:t>主要生产设备有：</w:t>
            </w:r>
            <w:r>
              <w:rPr>
                <w:rFonts w:hint="eastAsia"/>
                <w:u w:val="single"/>
              </w:rPr>
              <w:t>（列举2~4种）</w:t>
            </w:r>
          </w:p>
          <w:p>
            <w:pPr>
              <w:rPr>
                <w:rFonts w:hint="default" w:eastAsia="宋体"/>
                <w:lang w:val="en-US" w:eastAsia="zh-CN"/>
              </w:rPr>
            </w:pPr>
            <w:r>
              <w:rPr>
                <w:rFonts w:hint="eastAsia"/>
              </w:rPr>
              <w:t>主要安全装置有：</w:t>
            </w:r>
            <w:r>
              <w:rPr>
                <w:rFonts w:hint="eastAsia"/>
                <w:lang w:val="en-US" w:eastAsia="zh-CN"/>
              </w:rPr>
              <w:t>灭火器、消火栓</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A3"/>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52"/>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A3"/>
            </w:r>
            <w:r>
              <w:rPr>
                <w:rFonts w:hint="eastAsia"/>
              </w:rPr>
              <w:t>文件发放</w:t>
            </w:r>
            <w:r>
              <w:rPr>
                <w:rFonts w:hint="eastAsia" w:ascii="Wingdings" w:hAnsi="Wingdings"/>
                <w:lang w:eastAsia="zh-CN"/>
              </w:rPr>
              <w:sym w:font="Wingdings 2" w:char="00A3"/>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A3"/>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成品</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运行控制、应急预案及演练</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DA92D8A"/>
    <w:multiLevelType w:val="singleLevel"/>
    <w:tmpl w:val="FDA92D8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05D3275"/>
    <w:rsid w:val="03A04F32"/>
    <w:rsid w:val="04B82A14"/>
    <w:rsid w:val="072239CB"/>
    <w:rsid w:val="07647012"/>
    <w:rsid w:val="0B2C7F7F"/>
    <w:rsid w:val="0BEB6F66"/>
    <w:rsid w:val="0CBB3F94"/>
    <w:rsid w:val="101A203A"/>
    <w:rsid w:val="103903D7"/>
    <w:rsid w:val="1088779B"/>
    <w:rsid w:val="14BF0D38"/>
    <w:rsid w:val="16DC22CD"/>
    <w:rsid w:val="1923563E"/>
    <w:rsid w:val="1A1837DB"/>
    <w:rsid w:val="1B074551"/>
    <w:rsid w:val="1B5E59A7"/>
    <w:rsid w:val="1DB50B9A"/>
    <w:rsid w:val="218D664E"/>
    <w:rsid w:val="23DE58D7"/>
    <w:rsid w:val="26E71340"/>
    <w:rsid w:val="27023490"/>
    <w:rsid w:val="2B5F3604"/>
    <w:rsid w:val="2C4337F8"/>
    <w:rsid w:val="2C5D756A"/>
    <w:rsid w:val="2C7A3CC3"/>
    <w:rsid w:val="2E11488C"/>
    <w:rsid w:val="2ED851CE"/>
    <w:rsid w:val="32A93977"/>
    <w:rsid w:val="34E02B31"/>
    <w:rsid w:val="36AB1C62"/>
    <w:rsid w:val="37A32CDA"/>
    <w:rsid w:val="39D7649B"/>
    <w:rsid w:val="3AB82612"/>
    <w:rsid w:val="3CD00A9A"/>
    <w:rsid w:val="3D29776B"/>
    <w:rsid w:val="3DEC051B"/>
    <w:rsid w:val="3E907376"/>
    <w:rsid w:val="3E9F547E"/>
    <w:rsid w:val="3F4A5FD2"/>
    <w:rsid w:val="3FF4710D"/>
    <w:rsid w:val="40486923"/>
    <w:rsid w:val="40586B08"/>
    <w:rsid w:val="412073E8"/>
    <w:rsid w:val="420F2287"/>
    <w:rsid w:val="437817D5"/>
    <w:rsid w:val="44084F35"/>
    <w:rsid w:val="481E1E96"/>
    <w:rsid w:val="482A3AED"/>
    <w:rsid w:val="495E2C94"/>
    <w:rsid w:val="4A660EEF"/>
    <w:rsid w:val="4B1631F6"/>
    <w:rsid w:val="4B390CF8"/>
    <w:rsid w:val="4B852008"/>
    <w:rsid w:val="4C754365"/>
    <w:rsid w:val="4DF416CF"/>
    <w:rsid w:val="52EB05A3"/>
    <w:rsid w:val="531712B0"/>
    <w:rsid w:val="537F5EDF"/>
    <w:rsid w:val="53C23E08"/>
    <w:rsid w:val="53ED0E1F"/>
    <w:rsid w:val="541025FE"/>
    <w:rsid w:val="542967C5"/>
    <w:rsid w:val="56783DB8"/>
    <w:rsid w:val="56B20379"/>
    <w:rsid w:val="56C43C09"/>
    <w:rsid w:val="57623B4D"/>
    <w:rsid w:val="59C9292F"/>
    <w:rsid w:val="5C7D31D8"/>
    <w:rsid w:val="5E8D7A75"/>
    <w:rsid w:val="5F6167EC"/>
    <w:rsid w:val="5FE175D9"/>
    <w:rsid w:val="60D813E8"/>
    <w:rsid w:val="63A00F4B"/>
    <w:rsid w:val="63C22D77"/>
    <w:rsid w:val="63FB781E"/>
    <w:rsid w:val="6500317A"/>
    <w:rsid w:val="68ED4B9A"/>
    <w:rsid w:val="6F285225"/>
    <w:rsid w:val="6F693594"/>
    <w:rsid w:val="701E7FCB"/>
    <w:rsid w:val="71896996"/>
    <w:rsid w:val="725400CE"/>
    <w:rsid w:val="73B61051"/>
    <w:rsid w:val="76373CE4"/>
    <w:rsid w:val="76C0086F"/>
    <w:rsid w:val="79F530BD"/>
    <w:rsid w:val="7A456C8B"/>
    <w:rsid w:val="7C3F2CC3"/>
    <w:rsid w:val="7D04250C"/>
    <w:rsid w:val="7D9A028A"/>
    <w:rsid w:val="7DDC7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页眉 Char"/>
    <w:qFormat/>
    <w:uiPriority w:val="0"/>
    <w:rPr>
      <w:kern w:val="2"/>
      <w:sz w:val="18"/>
      <w:szCs w:val="18"/>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1"/>
    <w:link w:val="6"/>
    <w:qFormat/>
    <w:uiPriority w:val="99"/>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14729</Words>
  <Characters>15412</Characters>
  <Lines>150</Lines>
  <Paragraphs>42</Paragraphs>
  <TotalTime>0</TotalTime>
  <ScaleCrop>false</ScaleCrop>
  <LinksUpToDate>false</LinksUpToDate>
  <CharactersWithSpaces>15514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2022-08-11T07:44:24Z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