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领导层；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梁启军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陪同人员：梁启军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周文/远程/电话、微信；</w:t>
            </w:r>
            <w:bookmarkStart w:id="7" w:name="_GoBack"/>
            <w:bookmarkEnd w:id="7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2022年07月25日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领导层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EMS：4.1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</w:rPr>
              <w:t xml:space="preserve">OHS：4.1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sz w:val="24"/>
              </w:rPr>
              <w:t>理解组织及其所处环境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理解相关方的需求和期望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ES4.1/4.2/6.1.1</w:t>
            </w:r>
          </w:p>
          <w:p/>
        </w:tc>
        <w:tc>
          <w:tcPr>
            <w:tcW w:w="10004" w:type="dxa"/>
          </w:tcPr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法人：倪小强；总经理：杜丕皇；管代：梁启军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  <w:sz w:val="24"/>
                <w:lang w:eastAsia="zh-CN"/>
              </w:rPr>
              <w:t>福建省华增鞋业科技有限公司</w:t>
            </w:r>
            <w:r>
              <w:rPr>
                <w:rFonts w:hint="eastAsia"/>
                <w:sz w:val="24"/>
              </w:rPr>
              <w:t>法人是</w:t>
            </w:r>
            <w:r>
              <w:rPr>
                <w:rFonts w:hint="eastAsia"/>
                <w:sz w:val="24"/>
                <w:lang w:eastAsia="zh-CN"/>
              </w:rPr>
              <w:t>倪小强</w:t>
            </w:r>
            <w:r>
              <w:rPr>
                <w:rFonts w:hint="eastAsia"/>
                <w:sz w:val="24"/>
              </w:rPr>
              <w:t>，公司组建几年来，秉承"客户至上、品质至上"的服务理念，以</w:t>
            </w:r>
            <w:r>
              <w:rPr>
                <w:rFonts w:hint="eastAsia"/>
                <w:sz w:val="24"/>
                <w:lang w:val="en-US" w:eastAsia="zh-CN"/>
              </w:rPr>
              <w:t>销售</w:t>
            </w:r>
            <w:r>
              <w:rPr>
                <w:rFonts w:hint="eastAsia"/>
                <w:sz w:val="24"/>
              </w:rPr>
              <w:t>高品质产品赢得了客户的青睐和赞赏，在市场经济大潮中取得了有目共睹的骄人业绩。</w:t>
            </w:r>
          </w:p>
          <w:p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管理层对公司内外部环境进行了分析。</w:t>
            </w:r>
            <w:r>
              <w:rPr>
                <w:rFonts w:hint="eastAsia"/>
                <w:lang w:val="en-US" w:eastAsia="zh-CN"/>
              </w:rPr>
              <w:t>提供有“</w:t>
            </w:r>
            <w:r>
              <w:rPr>
                <w:rFonts w:hint="eastAsia"/>
              </w:rPr>
              <w:t>内、外部经营环境因素评价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编制：梁启军    批准：杜丕皇   2022.01.05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抽外部因素：</w:t>
            </w:r>
            <w:r>
              <w:rPr>
                <w:rFonts w:hint="eastAsia"/>
              </w:rPr>
              <w:t xml:space="preserve">    </w:t>
            </w:r>
          </w:p>
          <w:tbl>
            <w:tblPr>
              <w:tblStyle w:val="9"/>
              <w:tblW w:w="0" w:type="auto"/>
              <w:tblCellSpacing w:w="7" w:type="dxa"/>
              <w:tblInd w:w="0" w:type="dxa"/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5"/>
              <w:gridCol w:w="3842"/>
              <w:gridCol w:w="1252"/>
              <w:gridCol w:w="1650"/>
              <w:gridCol w:w="1702"/>
            </w:tblGrid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关键内部因素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权重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得分(-5～5)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加权数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restart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机会</w:t>
                  </w: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市场需求急剧增加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0.20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0.60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kern w:val="0"/>
                      <w:szCs w:val="21"/>
                    </w:rPr>
                    <w:t>拉动就业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0.20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kern w:val="0"/>
                      <w:szCs w:val="21"/>
                      <w:lang w:eastAsia="zh-CN"/>
                    </w:rPr>
                    <w:t>非生产企业、污染小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0.10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0.20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kern w:val="0"/>
                      <w:szCs w:val="21"/>
                    </w:rPr>
                    <w:t>服务行业</w:t>
                  </w:r>
                  <w:r>
                    <w:rPr>
                      <w:rFonts w:hint="eastAsia" w:ascii="Arial Narrow" w:hAnsi="Arial Narrow" w:cs="宋体"/>
                      <w:kern w:val="0"/>
                      <w:szCs w:val="21"/>
                      <w:lang w:eastAsia="zh-CN"/>
                    </w:rPr>
                    <w:t>方</w:t>
                  </w:r>
                  <w:r>
                    <w:rPr>
                      <w:rFonts w:hint="eastAsia" w:ascii="Arial Narrow" w:hAnsi="Arial Narrow" w:cs="宋体"/>
                      <w:kern w:val="0"/>
                      <w:szCs w:val="21"/>
                    </w:rPr>
                    <w:t>向好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0.15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0.75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2.35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restart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威胁</w:t>
                  </w: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color w:val="00B050"/>
                      <w:kern w:val="0"/>
                      <w:szCs w:val="21"/>
                    </w:rPr>
                    <w:t>国家不断的完善环境法律法规和相关要求，公司面临的环境管理压力日趋增大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0.15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-4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-0.60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color w:val="00B050"/>
                      <w:kern w:val="0"/>
                      <w:szCs w:val="21"/>
                    </w:rPr>
                    <w:t>当地居民及社团不接受污染物排放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0.10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-2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-0.20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hint="eastAsia" w:ascii="Arial Narrow" w:hAnsi="Arial Narrow" w:cs="宋体"/>
                      <w:color w:val="00B050"/>
                      <w:kern w:val="0"/>
                      <w:szCs w:val="21"/>
                    </w:rPr>
                    <w:t>消防管理及人员职业健康安全管理的要求日趋严格。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0.10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-3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-0.30</w:t>
                  </w:r>
                </w:p>
              </w:tc>
            </w:tr>
            <w:tr>
              <w:tblPrEx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994" w:type="dxa"/>
                  <w:vMerge w:val="continue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-1.10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7" w:type="dxa"/>
              </w:trPr>
              <w:tc>
                <w:tcPr>
                  <w:tcW w:w="994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综合</w:t>
                  </w:r>
                </w:p>
              </w:tc>
              <w:tc>
                <w:tcPr>
                  <w:tcW w:w="382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1238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single" w:color="B2D982" w:sz="6" w:space="0"/>
                    <w:left w:val="single" w:color="B2D982" w:sz="6" w:space="0"/>
                    <w:bottom w:val="single" w:color="B2D982" w:sz="6" w:space="0"/>
                    <w:right w:val="single" w:color="B2D982" w:sz="6" w:space="0"/>
                  </w:tcBorders>
                  <w:shd w:val="clear" w:color="auto" w:fill="FFFFFF"/>
                  <w:noWrap w:val="0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Arial Narrow" w:hAnsi="Arial Narrow" w:cs="宋体"/>
                      <w:kern w:val="0"/>
                      <w:szCs w:val="21"/>
                    </w:rPr>
                  </w:pPr>
                  <w:r>
                    <w:rPr>
                      <w:rFonts w:ascii="Arial Narrow" w:hAnsi="Arial Narrow" w:cs="宋体"/>
                      <w:kern w:val="0"/>
                      <w:szCs w:val="21"/>
                    </w:rPr>
                    <w:t>1.25</w:t>
                  </w:r>
                </w:p>
              </w:tc>
            </w:tr>
          </w:tbl>
          <w:p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公司确定的与管理体系有关的相关方有：股东/所有者；顾客；供方；员工；审核机构；政府机构；周边企业和居民；监测、危废处理、环卫、外来施工、设备维保等业务往来方。</w:t>
            </w:r>
            <w:r>
              <w:rPr>
                <w:rFonts w:hint="eastAsia"/>
                <w:lang w:val="en-US" w:eastAsia="zh-CN"/>
              </w:rPr>
              <w:t>提供有“相关方及相关方要求清单”、“相关方施加环境影响汇总”和“致相关方一封信”。</w:t>
            </w:r>
          </w:p>
          <w:p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管理体系范围确定及体系过程</w:t>
            </w:r>
          </w:p>
        </w:tc>
        <w:tc>
          <w:tcPr>
            <w:tcW w:w="960" w:type="dxa"/>
          </w:tcPr>
          <w:p>
            <w:r>
              <w:rPr>
                <w:rFonts w:hint="eastAsia"/>
                <w:lang w:val="en-US" w:eastAsia="zh-CN"/>
              </w:rPr>
              <w:t>ES4.3/4.4</w:t>
            </w:r>
          </w:p>
        </w:tc>
        <w:tc>
          <w:tcPr>
            <w:tcW w:w="10004" w:type="dxa"/>
          </w:tcPr>
          <w:p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经确认：</w:t>
            </w:r>
          </w:p>
          <w:p>
            <w:pPr>
              <w:rPr>
                <w:sz w:val="20"/>
              </w:rPr>
            </w:pPr>
            <w:bookmarkStart w:id="3" w:name="审核范围"/>
            <w:r>
              <w:rPr>
                <w:sz w:val="20"/>
              </w:rPr>
              <w:t>E：休闲运动鞋的销售所涉及场所的相关环境管理活动</w:t>
            </w:r>
          </w:p>
          <w:p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O：休闲运动鞋的销售所涉及场所的相关职业健康安全管理活动</w:t>
            </w:r>
            <w:bookmarkEnd w:id="3"/>
          </w:p>
          <w:p>
            <w:pPr>
              <w:spacing w:line="276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范围边界：</w:t>
            </w:r>
          </w:p>
          <w:p>
            <w:pPr>
              <w:bidi w:val="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</w:rPr>
              <w:t>注册地址</w:t>
            </w:r>
            <w:r>
              <w:rPr>
                <w:rFonts w:hint="eastAsia"/>
                <w:lang w:eastAsia="zh-CN"/>
              </w:rPr>
              <w:t>：</w:t>
            </w:r>
            <w:bookmarkStart w:id="4" w:name="注册地址"/>
            <w:r>
              <w:rPr>
                <w:rFonts w:asciiTheme="minorEastAsia" w:hAnsiTheme="minorEastAsia" w:eastAsiaTheme="minorEastAsia"/>
                <w:sz w:val="20"/>
              </w:rPr>
              <w:t>福建省泉州市晋江市西滨镇思进村拥军路12号</w:t>
            </w:r>
            <w:bookmarkEnd w:id="4"/>
          </w:p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经营地址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sz w:val="20"/>
              </w:rPr>
              <w:t>福建省泉州市晋江市西滨镇思进村拥军路12号</w:t>
            </w:r>
          </w:p>
          <w:p>
            <w:pPr>
              <w:spacing w:line="276" w:lineRule="auto"/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---</w:t>
            </w:r>
            <w:r>
              <w:rPr>
                <w:rFonts w:hint="eastAsia" w:asciiTheme="minorEastAsia" w:hAnsiTheme="minorEastAsia" w:eastAsiaTheme="minorEastAsia"/>
              </w:rPr>
              <w:t>公司于20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日颁布并实施了管理体系文件，体系文件包括有管理手册、方针/目标、程序文件、作业文件以及体系运行所需的记录等。查阅其手册及程序文件等，其体系文件依据GB/T24001-2016 idt ISO14001:2015《环境管理体系-要求及使用指南》、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ISO45001:2018 idt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GB/T45001-2020</w:t>
            </w:r>
            <w:r>
              <w:rPr>
                <w:rFonts w:hint="eastAsia" w:asciiTheme="minorEastAsia" w:hAnsiTheme="minorEastAsia" w:eastAsiaTheme="minorEastAsia"/>
              </w:rPr>
              <w:t>《职业健康安全管理体系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</w:rPr>
              <w:t>要求及使用指南》编制；该公司文件化质量管理体系覆盖标准全条款。</w:t>
            </w:r>
          </w:p>
          <w:p>
            <w:pPr>
              <w:spacing w:line="276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经识别和确认外包过程：</w:t>
            </w:r>
            <w:r>
              <w:rPr>
                <w:rFonts w:hint="eastAsia" w:ascii="宋体" w:hAnsi="宋体" w:cs="宋体"/>
                <w:kern w:val="0"/>
                <w:szCs w:val="21"/>
              </w:rPr>
              <w:t>暂无外包过程发生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17"/>
              <w:spacing w:line="276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作业</w:t>
            </w:r>
            <w:r>
              <w:rPr>
                <w:rFonts w:hint="eastAsia" w:asciiTheme="minorEastAsia" w:hAnsiTheme="minorEastAsia" w:eastAsiaTheme="minorEastAsia"/>
              </w:rPr>
              <w:t>过程为：</w:t>
            </w:r>
          </w:p>
          <w:p>
            <w:pPr>
              <w:bidi w:val="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接订单—&gt;合同评审—&gt;签订合同—&gt;组织货源—&gt;验货—&gt;发货—&gt;售后服务</w:t>
            </w:r>
          </w:p>
          <w:p>
            <w:r>
              <w:rPr>
                <w:rFonts w:hint="eastAsia" w:ascii="宋体" w:hAnsi="宋体" w:cs="宋体"/>
                <w:szCs w:val="21"/>
              </w:rPr>
              <w:t>——上述经本次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Cs w:val="21"/>
              </w:rPr>
              <w:t>审核确认有效。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</w:rPr>
              <w:t>组织方针、目标建立的适宜性和实施的有效性</w:t>
            </w:r>
          </w:p>
        </w:tc>
        <w:tc>
          <w:tcPr>
            <w:tcW w:w="960" w:type="dxa"/>
          </w:tcPr>
          <w:p>
            <w:r>
              <w:rPr>
                <w:rFonts w:hint="eastAsia"/>
                <w:lang w:val="en-US" w:eastAsia="zh-CN"/>
              </w:rPr>
              <w:t>ES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  <w:lang w:val="en-US" w:eastAsia="zh-CN"/>
              </w:rPr>
              <w:t>/5.3/</w:t>
            </w: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在管理手册中建立公司的</w:t>
            </w:r>
            <w:r>
              <w:rPr>
                <w:rFonts w:hint="eastAsia" w:ascii="宋体" w:hAnsi="宋体" w:cs="宋体"/>
                <w:szCs w:val="21"/>
              </w:rPr>
              <w:t>组织架构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/>
              </w:rPr>
              <w:t>质量、环境和职业健康安全管理方针和目标，基本适宜。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环境及职业健康安全方针</w:t>
            </w:r>
          </w:p>
          <w:p>
            <w:pPr>
              <w:pStyle w:val="1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遵纪守法，爱护环境。</w:t>
            </w:r>
          </w:p>
          <w:p>
            <w:pPr>
              <w:pStyle w:val="1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安全第一，持续改进。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方针与公司战略相适宜。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全公司的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目标:</w:t>
            </w:r>
          </w:p>
          <w:p>
            <w:pPr>
              <w:spacing w:line="410" w:lineRule="exact"/>
              <w:ind w:firstLine="562" w:firstLineChars="200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环境目标：</w:t>
            </w:r>
          </w:p>
          <w:p>
            <w:pPr>
              <w:spacing w:line="410" w:lineRule="exact"/>
              <w:ind w:firstLine="560" w:firstLineChars="200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1.固体废弃物分类管理，处置率100%；</w:t>
            </w:r>
          </w:p>
          <w:p>
            <w:pPr>
              <w:spacing w:line="410" w:lineRule="exact"/>
              <w:ind w:firstLine="560" w:firstLineChars="200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2.杜绝火灾事故。</w:t>
            </w:r>
          </w:p>
          <w:p>
            <w:pPr>
              <w:spacing w:line="410" w:lineRule="exact"/>
              <w:ind w:firstLine="560" w:firstLineChars="200"/>
              <w:rPr>
                <w:rFonts w:hint="eastAsia" w:ascii="Arial" w:hAnsi="Arial" w:cs="Arial"/>
                <w:sz w:val="28"/>
                <w:szCs w:val="28"/>
              </w:rPr>
            </w:pPr>
          </w:p>
          <w:p>
            <w:pPr>
              <w:spacing w:line="410" w:lineRule="exact"/>
              <w:ind w:firstLine="562" w:firstLineChars="200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职业健康安全目标：</w:t>
            </w:r>
          </w:p>
          <w:p>
            <w:pPr>
              <w:numPr>
                <w:ilvl w:val="0"/>
                <w:numId w:val="1"/>
              </w:numPr>
              <w:spacing w:line="410" w:lineRule="exact"/>
              <w:ind w:firstLine="560" w:firstLineChars="200"/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火灾、</w:t>
            </w:r>
            <w:r>
              <w:rPr>
                <w:rFonts w:hint="eastAsia" w:ascii="Arial" w:hAnsi="Arial" w:cs="Arial"/>
                <w:sz w:val="28"/>
                <w:szCs w:val="28"/>
              </w:rPr>
              <w:t>触电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事故为0次/年;</w:t>
            </w:r>
          </w:p>
          <w:p>
            <w:pPr>
              <w:numPr>
                <w:ilvl w:val="0"/>
                <w:numId w:val="1"/>
              </w:numPr>
              <w:spacing w:line="410" w:lineRule="exact"/>
              <w:ind w:firstLine="560" w:firstLineChars="200"/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交通意外事故为0次/年。</w:t>
            </w:r>
          </w:p>
          <w:p>
            <w:pPr>
              <w:pStyle w:val="16"/>
              <w:rPr>
                <w:rFonts w:hint="eastAsia"/>
              </w:rPr>
            </w:pP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目标可测量。</w:t>
            </w:r>
          </w:p>
          <w:p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 w:ascii="宋体" w:hAnsi="宋体" w:cs="宋体"/>
                <w:szCs w:val="21"/>
              </w:rPr>
              <w:t>管理职责分配适宜，体系职责整合程度较高。</w:t>
            </w:r>
          </w:p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通过发放文件、会议（每周部门会议，每月公司会议）、培训等方式向员工传达，使得员工理解和应用。</w:t>
            </w:r>
          </w:p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建立管理体系，以实现公司的目标。</w:t>
            </w:r>
          </w:p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管理评审中对适宜性进行评审。</w:t>
            </w:r>
          </w:p>
          <w:p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体系必要资源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持续</w:t>
            </w:r>
            <w:r>
              <w:rPr>
                <w:rFonts w:hint="eastAsia"/>
                <w:sz w:val="21"/>
                <w:szCs w:val="21"/>
                <w:highlight w:val="none"/>
              </w:rPr>
              <w:t>提供的充分性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ES7.1</w:t>
            </w:r>
          </w:p>
        </w:tc>
        <w:tc>
          <w:tcPr>
            <w:tcW w:w="10004" w:type="dxa"/>
          </w:tcPr>
          <w:p>
            <w:pPr>
              <w:pStyle w:val="16"/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--办公区域以玻璃幕墙隔断，通风采光良好，配备有电脑、打印复印机、全套办公类家具；</w:t>
            </w:r>
          </w:p>
          <w:p>
            <w:pPr>
              <w:pStyle w:val="16"/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--环保设备包括字纸篓、分类垃圾箱；公共区域摆放绿植；</w:t>
            </w:r>
          </w:p>
          <w:p>
            <w:pPr>
              <w:pStyle w:val="16"/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--楼道配置有消防箱及消火栓。</w:t>
            </w:r>
          </w:p>
          <w:p>
            <w:pPr>
              <w:pStyle w:val="16"/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--管代表述，员工接受过环保、安全知识培训，参与过应急演练。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--人事行政部负责提供充足的ES资金保障。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ES9.3</w:t>
            </w:r>
          </w:p>
        </w:tc>
        <w:tc>
          <w:tcPr>
            <w:tcW w:w="10004" w:type="dxa"/>
          </w:tcPr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--策划有《</w:t>
            </w:r>
            <w:r>
              <w:rPr>
                <w:rFonts w:hint="eastAsia"/>
              </w:rPr>
              <w:t>管理评审控制程序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规定了控制准则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公司在</w:t>
            </w:r>
            <w:r>
              <w:rPr>
                <w:rFonts w:hint="eastAsia"/>
                <w:lang w:val="en-US" w:eastAsia="zh-CN"/>
              </w:rPr>
              <w:t>2022.7.10.实施</w:t>
            </w:r>
            <w:r>
              <w:rPr>
                <w:rFonts w:hint="eastAsia"/>
              </w:rPr>
              <w:t>了管理评审活动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管理评审策划和实施的时间、覆盖的范围、输入、输出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结论及改进措施，均符合规定要求；提供有手写签到表。抽查内容如下：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评审输入：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（a） 内审结果，对与公司相关的法规要求及其他要求的一致性的评估；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（b） 来自有兴趣的外部相关方的信息，包括投诉；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（c） 公司的环境、职业健康安全表现；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（d） 目标和指标的扩充；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（e） 改善和防止措施的情况；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（f） 内审中不符合项的跟进措施；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（g） 改善的环境、职业健康安全，包括与其环境、职业健康安全因素相关的法律要求及其他要求的发展；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（h） 改善建议。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2、评审结论：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过内审和管理评审的检验证实，我公司现有的管理体系及制定的管理方针、目标是适宜、有效的，管理体系各过程识别充分。各部门提出的改进建议很好，对公司的发展很有好处。人事行政部负责根据各部门提出的建议，编制下一步的改进计划，希望各部门按照内审、管理评审及整改的标准继续做好工作，大家在各自的岗位上再接再厉，按照</w:t>
            </w:r>
            <w:bookmarkStart w:id="5" w:name="OLE_LINK5"/>
            <w:bookmarkStart w:id="6" w:name="OLE_LINK4"/>
            <w:r>
              <w:rPr>
                <w:rFonts w:hint="eastAsia"/>
                <w:lang w:val="en-US" w:eastAsia="zh-CN"/>
              </w:rPr>
              <w:t>GB/T24001-2016</w:t>
            </w:r>
            <w:bookmarkEnd w:id="5"/>
            <w:bookmarkEnd w:id="6"/>
            <w:r>
              <w:rPr>
                <w:rFonts w:hint="eastAsia"/>
                <w:lang w:val="en-US" w:eastAsia="zh-CN"/>
              </w:rPr>
              <w:t>、GB/T45001-2021标准要求，不断的持续改进我们的工作，为全面实现公司的管理方针和目标而努力奋斗！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改进项目：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提高人员的安全意识。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报告分发范围：经理及各部门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年度保持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</w:rPr>
              <w:t>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上次审核不符合项的验证；产品质量状况(包括质量事件、顾客投诉、监督部门抽查/检测等)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---经核查，上次审核不符合项发生在ES8.1条款，本次审核并未发现相同不符合。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---经核查，营业执照包含产品范围。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管代承诺，本年度内未发生顾客投诉，未发生环境污染、职业健康安全事件，未受到监管部门处罚。</w:t>
            </w:r>
          </w:p>
          <w:p>
            <w:pP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92D8A"/>
    <w:multiLevelType w:val="singleLevel"/>
    <w:tmpl w:val="FDA92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27542D"/>
    <w:rsid w:val="02B72D40"/>
    <w:rsid w:val="0316242C"/>
    <w:rsid w:val="07987A24"/>
    <w:rsid w:val="08C01FF1"/>
    <w:rsid w:val="091F3379"/>
    <w:rsid w:val="09BD0D4B"/>
    <w:rsid w:val="0A424F95"/>
    <w:rsid w:val="0B507CE4"/>
    <w:rsid w:val="0CF87B8D"/>
    <w:rsid w:val="0DC363ED"/>
    <w:rsid w:val="12597320"/>
    <w:rsid w:val="184C2670"/>
    <w:rsid w:val="18A60196"/>
    <w:rsid w:val="1B963C28"/>
    <w:rsid w:val="1D045FBE"/>
    <w:rsid w:val="1DB453AA"/>
    <w:rsid w:val="1F7C0E98"/>
    <w:rsid w:val="2166058C"/>
    <w:rsid w:val="216703B6"/>
    <w:rsid w:val="22893EED"/>
    <w:rsid w:val="25E75E13"/>
    <w:rsid w:val="26844111"/>
    <w:rsid w:val="26FF75FB"/>
    <w:rsid w:val="27147861"/>
    <w:rsid w:val="2A0712EE"/>
    <w:rsid w:val="2B724B56"/>
    <w:rsid w:val="2CEE4AB3"/>
    <w:rsid w:val="2E8478BD"/>
    <w:rsid w:val="2ED15249"/>
    <w:rsid w:val="307418D9"/>
    <w:rsid w:val="31A05388"/>
    <w:rsid w:val="32862630"/>
    <w:rsid w:val="32DF6F75"/>
    <w:rsid w:val="35B75F88"/>
    <w:rsid w:val="368327AF"/>
    <w:rsid w:val="376F1E78"/>
    <w:rsid w:val="38742E2E"/>
    <w:rsid w:val="39F41E2B"/>
    <w:rsid w:val="3A4818A4"/>
    <w:rsid w:val="3EB91970"/>
    <w:rsid w:val="411933DF"/>
    <w:rsid w:val="417F4B94"/>
    <w:rsid w:val="42935686"/>
    <w:rsid w:val="42C56431"/>
    <w:rsid w:val="43170066"/>
    <w:rsid w:val="44FE1429"/>
    <w:rsid w:val="45A860A2"/>
    <w:rsid w:val="46254DCA"/>
    <w:rsid w:val="46E240C2"/>
    <w:rsid w:val="490157B3"/>
    <w:rsid w:val="4AA60ECF"/>
    <w:rsid w:val="4DAE5A6A"/>
    <w:rsid w:val="4E4C150B"/>
    <w:rsid w:val="4EB244E8"/>
    <w:rsid w:val="52D5668E"/>
    <w:rsid w:val="55945546"/>
    <w:rsid w:val="56926383"/>
    <w:rsid w:val="57C0752E"/>
    <w:rsid w:val="57DA41B4"/>
    <w:rsid w:val="58035F57"/>
    <w:rsid w:val="5B77749C"/>
    <w:rsid w:val="5C3B4F55"/>
    <w:rsid w:val="5F64242D"/>
    <w:rsid w:val="606C448B"/>
    <w:rsid w:val="65134974"/>
    <w:rsid w:val="655438CC"/>
    <w:rsid w:val="65BF7F12"/>
    <w:rsid w:val="65DA7C44"/>
    <w:rsid w:val="68574C2D"/>
    <w:rsid w:val="68A11FFC"/>
    <w:rsid w:val="69622E15"/>
    <w:rsid w:val="6BAC2F6C"/>
    <w:rsid w:val="6BF91346"/>
    <w:rsid w:val="6DAE1D71"/>
    <w:rsid w:val="6EAF0113"/>
    <w:rsid w:val="71142165"/>
    <w:rsid w:val="71AE5065"/>
    <w:rsid w:val="73CF3EC1"/>
    <w:rsid w:val="73D86B4B"/>
    <w:rsid w:val="74E31EA8"/>
    <w:rsid w:val="75403BE6"/>
    <w:rsid w:val="756E6DDD"/>
    <w:rsid w:val="77372B80"/>
    <w:rsid w:val="786E777B"/>
    <w:rsid w:val="79E96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[936e4e6e-5310-4269-9eba-5080d9f28de4]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2041</Words>
  <Characters>2362</Characters>
  <Lines>1</Lines>
  <Paragraphs>1</Paragraphs>
  <TotalTime>0</TotalTime>
  <ScaleCrop>false</ScaleCrop>
  <LinksUpToDate>false</LinksUpToDate>
  <CharactersWithSpaces>2413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2022-08-11T06:25:45Z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