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受审核部门：综合部             主管领导：   </w:t>
            </w:r>
            <w:r>
              <w:rPr>
                <w:rFonts w:hint="eastAsia"/>
                <w:sz w:val="24"/>
                <w:szCs w:val="24"/>
                <w:lang w:eastAsia="zh-CN"/>
              </w:rPr>
              <w:t>魏春鸽</w:t>
            </w:r>
            <w:r>
              <w:rPr>
                <w:rFonts w:hint="eastAsia"/>
                <w:sz w:val="24"/>
                <w:szCs w:val="24"/>
              </w:rPr>
              <w:t xml:space="preserve">            陪同人员：高海娟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郭力</w:t>
            </w:r>
            <w:r>
              <w:rPr>
                <w:rFonts w:hint="eastAsia"/>
                <w:sz w:val="24"/>
                <w:szCs w:val="24"/>
              </w:rPr>
              <w:t xml:space="preserve">                                 审核时间：20</w:t>
            </w:r>
            <w:r>
              <w:rPr>
                <w:rFonts w:hint="eastAsia"/>
                <w:sz w:val="24"/>
                <w:szCs w:val="24"/>
                <w:lang w:val="en-US" w:eastAsia="zh-CN"/>
              </w:rPr>
              <w:t>22</w:t>
            </w:r>
            <w:r>
              <w:rPr>
                <w:rFonts w:hint="eastAsia"/>
                <w:sz w:val="24"/>
                <w:szCs w:val="24"/>
              </w:rPr>
              <w:t>.</w:t>
            </w:r>
            <w:r>
              <w:rPr>
                <w:rFonts w:hint="eastAsia"/>
                <w:sz w:val="24"/>
                <w:szCs w:val="24"/>
                <w:lang w:val="en-US" w:eastAsia="zh-CN"/>
              </w:rPr>
              <w:t>7</w:t>
            </w:r>
            <w:r>
              <w:rPr>
                <w:rFonts w:hint="eastAsia"/>
                <w:sz w:val="24"/>
                <w:szCs w:val="24"/>
              </w:rPr>
              <w:t>.</w:t>
            </w:r>
            <w:r>
              <w:rPr>
                <w:rFonts w:hint="eastAsia"/>
                <w:sz w:val="24"/>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rPr>
                <w:rFonts w:hint="eastAsia"/>
                <w:szCs w:val="22"/>
              </w:rPr>
            </w:pPr>
            <w:r>
              <w:rPr>
                <w:rFonts w:hint="eastAsia"/>
                <w:szCs w:val="22"/>
              </w:rPr>
              <w:t>审核条款：</w:t>
            </w:r>
          </w:p>
          <w:p>
            <w:pPr>
              <w:spacing w:line="360" w:lineRule="auto"/>
              <w:rPr>
                <w:rFonts w:hint="eastAsia"/>
                <w:szCs w:val="22"/>
              </w:rPr>
            </w:pPr>
            <w:r>
              <w:rPr>
                <w:rFonts w:hint="eastAsia" w:ascii="Times New Roman" w:hAnsi="Times New Roman" w:eastAsia="宋体" w:cs="Times New Roman"/>
                <w:sz w:val="21"/>
                <w:szCs w:val="21"/>
              </w:rPr>
              <w:t>EMS: 5.3、6.1、 6.2、7.1.6、7.2、7.3、7.5、</w:t>
            </w:r>
            <w:r>
              <w:rPr>
                <w:rFonts w:hint="eastAsia" w:cs="Times New Roman"/>
                <w:sz w:val="21"/>
                <w:szCs w:val="21"/>
                <w:lang w:val="en-US" w:eastAsia="zh-CN"/>
              </w:rPr>
              <w:t>8.1、8.2、</w:t>
            </w:r>
            <w:r>
              <w:rPr>
                <w:rFonts w:hint="eastAsia" w:ascii="Times New Roman" w:hAnsi="Times New Roman" w:eastAsia="宋体" w:cs="Times New Roman"/>
                <w:sz w:val="21"/>
                <w:szCs w:val="21"/>
              </w:rPr>
              <w:t xml:space="preserve"> 9.1、9.2、9.3</w:t>
            </w:r>
            <w:r>
              <w:rPr>
                <w:rFonts w:hint="eastAsia" w:cs="Times New Roman"/>
                <w:sz w:val="21"/>
                <w:szCs w:val="21"/>
                <w:lang w:eastAsia="zh-CN"/>
              </w:rPr>
              <w:t>、</w:t>
            </w:r>
            <w:r>
              <w:rPr>
                <w:rFonts w:hint="eastAsia" w:cs="Times New Roman"/>
                <w:sz w:val="21"/>
                <w:szCs w:val="21"/>
                <w:lang w:val="en-US" w:eastAsia="zh-CN"/>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2"/>
              </w:rPr>
            </w:pPr>
          </w:p>
          <w:p>
            <w:pPr>
              <w:rPr>
                <w:szCs w:val="22"/>
              </w:rPr>
            </w:pPr>
          </w:p>
          <w:p>
            <w:pPr>
              <w:rPr>
                <w:szCs w:val="22"/>
              </w:rPr>
            </w:pPr>
          </w:p>
          <w:p>
            <w:pPr>
              <w:rPr>
                <w:szCs w:val="22"/>
              </w:rPr>
            </w:pPr>
          </w:p>
          <w:p>
            <w:pPr>
              <w:rPr>
                <w:szCs w:val="22"/>
              </w:rPr>
            </w:pPr>
            <w:r>
              <w:rPr>
                <w:rFonts w:hint="eastAsia"/>
                <w:szCs w:val="22"/>
              </w:rPr>
              <w:t>组织的岗位、职责和权限</w:t>
            </w:r>
          </w:p>
        </w:tc>
        <w:tc>
          <w:tcPr>
            <w:tcW w:w="960" w:type="dxa"/>
          </w:tcPr>
          <w:p>
            <w:pPr>
              <w:rPr>
                <w:szCs w:val="22"/>
              </w:rPr>
            </w:pPr>
          </w:p>
          <w:p>
            <w:pPr>
              <w:rPr>
                <w:szCs w:val="22"/>
              </w:rPr>
            </w:pPr>
          </w:p>
          <w:p>
            <w:pPr>
              <w:rPr>
                <w:szCs w:val="22"/>
              </w:rPr>
            </w:pPr>
          </w:p>
          <w:p>
            <w:pPr>
              <w:rPr>
                <w:szCs w:val="22"/>
              </w:rPr>
            </w:pPr>
          </w:p>
          <w:p>
            <w:pPr>
              <w:ind w:firstLine="210" w:firstLineChars="100"/>
              <w:rPr>
                <w:szCs w:val="22"/>
              </w:rPr>
            </w:pPr>
          </w:p>
          <w:p>
            <w:pPr>
              <w:ind w:firstLine="210" w:firstLineChars="100"/>
              <w:rPr>
                <w:szCs w:val="22"/>
              </w:rPr>
            </w:pPr>
            <w:r>
              <w:rPr>
                <w:rFonts w:hint="eastAsia"/>
                <w:szCs w:val="22"/>
              </w:rPr>
              <w:t>5.3</w:t>
            </w:r>
          </w:p>
        </w:tc>
        <w:tc>
          <w:tcPr>
            <w:tcW w:w="10004" w:type="dxa"/>
          </w:tcPr>
          <w:p>
            <w:pPr>
              <w:rPr>
                <w:color w:val="000000" w:themeColor="text1"/>
              </w:rPr>
            </w:pPr>
            <w:r>
              <w:rPr>
                <w:rFonts w:hint="eastAsia"/>
                <w:color w:val="000000" w:themeColor="text1"/>
              </w:rPr>
              <w:t>部门负责人：</w:t>
            </w:r>
            <w:r>
              <w:rPr>
                <w:rFonts w:hint="eastAsia"/>
                <w:color w:val="000000" w:themeColor="text1"/>
                <w:lang w:eastAsia="zh-CN"/>
              </w:rPr>
              <w:t>魏春鸽</w:t>
            </w:r>
            <w:r>
              <w:rPr>
                <w:rFonts w:hint="eastAsia"/>
                <w:color w:val="000000" w:themeColor="text1"/>
              </w:rPr>
              <w:t xml:space="preserve"> </w:t>
            </w:r>
            <w:r>
              <w:rPr>
                <w:rFonts w:hint="eastAsia"/>
                <w:color w:val="000000" w:themeColor="text1"/>
                <w:lang w:eastAsia="zh-CN"/>
              </w:rPr>
              <w:t>，</w:t>
            </w:r>
            <w:r>
              <w:rPr>
                <w:rFonts w:hint="eastAsia"/>
                <w:color w:val="000000" w:themeColor="text1"/>
              </w:rPr>
              <w:t>询问主要职责：</w:t>
            </w:r>
          </w:p>
          <w:p>
            <w:pPr>
              <w:spacing w:line="360" w:lineRule="auto"/>
              <w:rPr>
                <w:rFonts w:ascii="宋体" w:hAnsi="宋体"/>
                <w:szCs w:val="21"/>
              </w:rPr>
            </w:pPr>
            <w:r>
              <w:rPr>
                <w:rFonts w:ascii="宋体" w:hAnsi="宋体"/>
                <w:szCs w:val="21"/>
              </w:rPr>
              <w:t xml:space="preserve">1) </w:t>
            </w:r>
            <w:r>
              <w:rPr>
                <w:rFonts w:hint="eastAsia" w:ascii="宋体" w:hAnsi="宋体"/>
                <w:szCs w:val="21"/>
              </w:rPr>
              <w:t>具体负责环境管理体系的建立与实施；</w:t>
            </w:r>
            <w:r>
              <w:rPr>
                <w:rFonts w:ascii="宋体" w:hAnsi="宋体"/>
                <w:szCs w:val="21"/>
              </w:rPr>
              <w:t xml:space="preserve">2) </w:t>
            </w:r>
            <w:r>
              <w:rPr>
                <w:rFonts w:hint="eastAsia" w:ascii="宋体" w:hAnsi="宋体"/>
                <w:szCs w:val="21"/>
              </w:rPr>
              <w:t>组织环境因素识别与评价，确定重要环境因素；</w:t>
            </w:r>
            <w:r>
              <w:rPr>
                <w:rFonts w:ascii="宋体" w:hAnsi="宋体"/>
                <w:szCs w:val="21"/>
              </w:rPr>
              <w:t xml:space="preserve">3) </w:t>
            </w:r>
            <w:r>
              <w:rPr>
                <w:rFonts w:hint="eastAsia" w:ascii="宋体" w:hAnsi="宋体"/>
                <w:szCs w:val="21"/>
              </w:rPr>
              <w:t>组织环境管理体系内审及各种评审；</w:t>
            </w:r>
            <w:r>
              <w:rPr>
                <w:rFonts w:ascii="宋体" w:hAnsi="宋体"/>
                <w:szCs w:val="21"/>
              </w:rPr>
              <w:t xml:space="preserve">4) </w:t>
            </w:r>
            <w:r>
              <w:rPr>
                <w:rFonts w:hint="eastAsia" w:ascii="宋体" w:hAnsi="宋体"/>
                <w:szCs w:val="21"/>
              </w:rPr>
              <w:t>负责获取、识别和更新适用的环境法律法规及其他要求，组织实施对法律法规遵循情况的评价；</w:t>
            </w:r>
            <w:r>
              <w:rPr>
                <w:rFonts w:ascii="宋体" w:hAnsi="宋体"/>
                <w:szCs w:val="21"/>
              </w:rPr>
              <w:t xml:space="preserve">5) </w:t>
            </w:r>
            <w:r>
              <w:rPr>
                <w:rFonts w:hint="eastAsia" w:ascii="宋体" w:hAnsi="宋体"/>
                <w:szCs w:val="21"/>
              </w:rPr>
              <w:t>组织环境管理体系文件的编写和文件的管理；</w:t>
            </w:r>
            <w:r>
              <w:rPr>
                <w:rFonts w:ascii="宋体" w:hAnsi="宋体"/>
                <w:szCs w:val="21"/>
              </w:rPr>
              <w:t xml:space="preserve">6) </w:t>
            </w:r>
            <w:r>
              <w:rPr>
                <w:rFonts w:hint="eastAsia" w:ascii="宋体" w:hAnsi="宋体"/>
                <w:szCs w:val="21"/>
              </w:rPr>
              <w:t>组织制定环境目标、指标和方案，并对完成情况进行监督检查；</w:t>
            </w:r>
            <w:r>
              <w:rPr>
                <w:rFonts w:ascii="宋体" w:hAnsi="宋体"/>
                <w:szCs w:val="21"/>
              </w:rPr>
              <w:t xml:space="preserve">7) </w:t>
            </w:r>
            <w:r>
              <w:rPr>
                <w:rFonts w:hint="eastAsia" w:ascii="宋体" w:hAnsi="宋体"/>
                <w:szCs w:val="21"/>
              </w:rPr>
              <w:t>负责内、外部环境信息交流；</w:t>
            </w:r>
            <w:r>
              <w:rPr>
                <w:rFonts w:ascii="宋体" w:hAnsi="宋体"/>
                <w:szCs w:val="21"/>
              </w:rPr>
              <w:t xml:space="preserve">8) </w:t>
            </w:r>
            <w:r>
              <w:rPr>
                <w:rFonts w:hint="eastAsia" w:ascii="宋体" w:hAnsi="宋体"/>
                <w:szCs w:val="21"/>
              </w:rPr>
              <w:t>负责环境管理体系运行的监督检查，对纠正预措施和预防措施跟踪验证；</w:t>
            </w:r>
            <w:r>
              <w:rPr>
                <w:rFonts w:ascii="宋体" w:hAnsi="宋体"/>
                <w:szCs w:val="21"/>
              </w:rPr>
              <w:t xml:space="preserve">9) </w:t>
            </w:r>
            <w:r>
              <w:rPr>
                <w:rFonts w:hint="eastAsia" w:ascii="宋体" w:hAnsi="宋体"/>
                <w:szCs w:val="21"/>
              </w:rPr>
              <w:t>负责环境管理体系运行有关资料的汇总，为管理评审提供依据；</w:t>
            </w:r>
          </w:p>
          <w:p>
            <w:r>
              <w:rPr>
                <w:rFonts w:hint="eastAsia" w:ascii="宋体" w:hAnsi="宋体" w:cs="宋体"/>
                <w:color w:val="000000" w:themeColor="text1"/>
                <w:szCs w:val="21"/>
                <w:lang w:bidi="ar"/>
              </w:rPr>
              <w:t>部门职责清晰、明确。综合部负责人能基本阐述本部门的主要职责。</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 xml:space="preserve"> 环境因素</w:t>
            </w:r>
          </w:p>
        </w:tc>
        <w:tc>
          <w:tcPr>
            <w:tcW w:w="960"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6.1.2 </w:t>
            </w:r>
          </w:p>
          <w:p>
            <w:pPr>
              <w:rPr>
                <w:rFonts w:hint="eastAsia" w:ascii="Times New Roman" w:hAnsi="Times New Roman" w:eastAsia="宋体" w:cs="Times New Roman"/>
                <w:szCs w:val="22"/>
                <w:lang w:val="en-US" w:eastAsia="zh-CN"/>
              </w:rPr>
            </w:pPr>
          </w:p>
        </w:tc>
        <w:tc>
          <w:tcPr>
            <w:tcW w:w="10004" w:type="dxa"/>
          </w:tcPr>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综合部主要负责识别评价相关的环境因素，查有：《环境因素识别与评价控制程序》。</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根据各生产、办公、销售过程环节识别，由综合部统一汇总。</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 xml:space="preserve">提供了“环境因素识别评价汇总表”，识别了体系覆盖的各过程的环境因素，如水电消耗、包装物消耗、废旧办公设备排放、废水排放、生活垃圾排放、运输汽车尾气扬尘排放、机加工边角料排放、废切削液排放、设备噪声的排放等环境因素，但是识别不够细致、充分，现场交流。 </w:t>
            </w:r>
          </w:p>
          <w:p>
            <w:pPr>
              <w:tabs>
                <w:tab w:val="left" w:pos="6597"/>
              </w:tabs>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现场提供了《重要环境因素清单》，通过评价，公司共识别出重要环境因素6项。</w:t>
            </w:r>
          </w:p>
          <w:p>
            <w:pPr>
              <w:tabs>
                <w:tab w:val="left" w:pos="6597"/>
              </w:tabs>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查综合部环境因素识别情况：识别了办公过程的如下环境因素：办公过程中的水电消耗、纸张使用、废办公设备排放、生活垃圾排放、火灾等。</w:t>
            </w:r>
          </w:p>
          <w:p>
            <w:pPr>
              <w:tabs>
                <w:tab w:val="left" w:pos="6597"/>
              </w:tabs>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涉及综合部的重要环境因素有2项：办公活动过程中的火灾及固废排放。</w:t>
            </w:r>
          </w:p>
          <w:p>
            <w:pPr>
              <w:tabs>
                <w:tab w:val="left" w:pos="6597"/>
              </w:tabs>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对于重要环境因素的控制，通过日常检查、目标、管理方案、运行控制、应急预案等控制方式，各部门的运行控制情况见各部门审核记录。</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6597"/>
              </w:tabs>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合规义务</w:t>
            </w:r>
          </w:p>
        </w:tc>
        <w:tc>
          <w:tcPr>
            <w:tcW w:w="960" w:type="dxa"/>
            <w:vAlign w:val="top"/>
          </w:tcPr>
          <w:p>
            <w:pPr>
              <w:tabs>
                <w:tab w:val="left" w:pos="6597"/>
              </w:tabs>
              <w:spacing w:line="360" w:lineRule="auto"/>
              <w:rPr>
                <w:rFonts w:hint="eastAsia" w:ascii="Times New Roman" w:hAnsi="Times New Roman" w:eastAsia="宋体" w:cs="Times New Roman"/>
                <w:szCs w:val="22"/>
              </w:rPr>
            </w:pPr>
          </w:p>
          <w:p>
            <w:pPr>
              <w:tabs>
                <w:tab w:val="left" w:pos="6597"/>
              </w:tabs>
              <w:spacing w:line="360" w:lineRule="auto"/>
              <w:rPr>
                <w:rFonts w:hint="eastAsia" w:ascii="Times New Roman" w:hAnsi="Times New Roman" w:eastAsia="宋体" w:cs="Times New Roman"/>
                <w:szCs w:val="22"/>
              </w:rPr>
            </w:pPr>
          </w:p>
          <w:p>
            <w:pPr>
              <w:tabs>
                <w:tab w:val="left" w:pos="6597"/>
              </w:tabs>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6.1.3</w:t>
            </w:r>
          </w:p>
        </w:tc>
        <w:tc>
          <w:tcPr>
            <w:tcW w:w="10004" w:type="dxa"/>
            <w:vAlign w:val="center"/>
          </w:tcPr>
          <w:p>
            <w:pPr>
              <w:tabs>
                <w:tab w:val="left" w:pos="6597"/>
              </w:tabs>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提供了“法律法规和其他要求清单”，包含了69个环境/安全法律法规、标准和其他要求。如中华人民共和国环境保护法、中华人民共和国消防法、中华人民共和国环境影响评价法、中华人民共和国水污染防治法、中华人民共和国噪声污染防治法、陕西省消防条例、陕西省咸阳市防治环境污染设施监督管理办法等。个别法规不是最近版本，进行了现场交流。</w:t>
            </w:r>
          </w:p>
          <w:p>
            <w:pPr>
              <w:tabs>
                <w:tab w:val="left" w:pos="6597"/>
              </w:tabs>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综合部根据需要随时网上获取、识别更新，并通过培训、宣传、会议等形式传达给员工和相关方，各部门如有需要随时到综合部查阅。</w:t>
            </w:r>
          </w:p>
        </w:tc>
        <w:tc>
          <w:tcPr>
            <w:tcW w:w="1585" w:type="dxa"/>
          </w:tcPr>
          <w:p>
            <w:pPr>
              <w:rPr>
                <w:rFonts w:hint="eastAsia"/>
                <w:lang w:val="en-US" w:eastAsia="zh-CN"/>
              </w:rPr>
            </w:pPr>
          </w:p>
          <w:p>
            <w:pPr>
              <w:rPr>
                <w:rFonts w:hint="eastAsia"/>
                <w:lang w:val="en-US" w:eastAsia="zh-CN"/>
              </w:rPr>
            </w:pPr>
          </w:p>
          <w:p>
            <w:pPr>
              <w:rPr>
                <w:rFonts w:hint="eastAsia"/>
                <w:lang w:val="en-US" w:eastAsia="zh-CN"/>
              </w:rPr>
            </w:pPr>
            <w:r>
              <w:rPr>
                <w:rFonts w:hint="eastAsia" w:ascii="宋体" w:hAnsi="宋体" w:cs="宋体"/>
                <w:sz w:val="21"/>
                <w:szCs w:val="21"/>
                <w:lang w:val="en-US" w:eastAsia="zh-CN"/>
              </w:rPr>
              <w:t>Y</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6597"/>
              </w:tabs>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措施的策划</w:t>
            </w:r>
          </w:p>
        </w:tc>
        <w:tc>
          <w:tcPr>
            <w:tcW w:w="960" w:type="dxa"/>
            <w:vAlign w:val="top"/>
          </w:tcPr>
          <w:p>
            <w:pPr>
              <w:tabs>
                <w:tab w:val="left" w:pos="6597"/>
              </w:tabs>
              <w:spacing w:line="360" w:lineRule="auto"/>
              <w:rPr>
                <w:rFonts w:hint="eastAsia" w:ascii="Times New Roman" w:hAnsi="Times New Roman" w:eastAsia="宋体" w:cs="Times New Roman"/>
                <w:szCs w:val="22"/>
              </w:rPr>
            </w:pPr>
          </w:p>
          <w:p>
            <w:pPr>
              <w:tabs>
                <w:tab w:val="left" w:pos="6597"/>
              </w:tabs>
              <w:spacing w:line="360" w:lineRule="auto"/>
              <w:rPr>
                <w:rFonts w:hint="eastAsia" w:ascii="Times New Roman" w:hAnsi="Times New Roman" w:eastAsia="宋体" w:cs="Times New Roman"/>
                <w:szCs w:val="22"/>
              </w:rPr>
            </w:pPr>
          </w:p>
          <w:p>
            <w:pPr>
              <w:tabs>
                <w:tab w:val="left" w:pos="6597"/>
              </w:tabs>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6.1.4</w:t>
            </w:r>
          </w:p>
        </w:tc>
        <w:tc>
          <w:tcPr>
            <w:tcW w:w="10004" w:type="dxa"/>
            <w:vAlign w:val="center"/>
          </w:tcPr>
          <w:p>
            <w:pPr>
              <w:tabs>
                <w:tab w:val="left" w:pos="6597"/>
              </w:tabs>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公司根据环境因素评价结果，制定出《重要环境因素清单》，清单内明确了控制措施计划，通过具体的措施进行有效控制：目标、管理方案、管理制度运行控制、应急预案、检查、培训。</w:t>
            </w:r>
          </w:p>
          <w:p>
            <w:pPr>
              <w:tabs>
                <w:tab w:val="left" w:pos="6597"/>
              </w:tabs>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制定了《法律、法规和其他要求控制程序》、《合规性评价控制程序》，每年对公司适用的合规义务进行识别更新并定期评价、检查。</w:t>
            </w:r>
          </w:p>
          <w:p>
            <w:pPr>
              <w:tabs>
                <w:tab w:val="left" w:pos="6597"/>
              </w:tabs>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经组织评价，组织策划的措施基本能够满足风险和机遇应对需要，与潜在影响相适应，基本满足标准要求。</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ind w:firstLine="630" w:firstLineChars="3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目标</w:t>
            </w:r>
          </w:p>
        </w:tc>
        <w:tc>
          <w:tcPr>
            <w:tcW w:w="960" w:type="dxa"/>
            <w:vAlign w:val="center"/>
          </w:tcPr>
          <w:p>
            <w:pPr>
              <w:tabs>
                <w:tab w:val="left" w:pos="6597"/>
              </w:tabs>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r>
              <w:rPr>
                <w:rFonts w:hint="eastAsia" w:ascii="宋体" w:hAnsi="宋体" w:eastAsia="宋体" w:cs="宋体"/>
                <w:sz w:val="21"/>
                <w:szCs w:val="21"/>
                <w:lang w:val="en-US" w:eastAsia="zh-CN"/>
              </w:rPr>
              <w:t>2</w:t>
            </w:r>
          </w:p>
        </w:tc>
        <w:tc>
          <w:tcPr>
            <w:tcW w:w="10004" w:type="dxa"/>
            <w:vAlign w:val="top"/>
          </w:tcPr>
          <w:p>
            <w:pPr>
              <w:autoSpaceDE w:val="0"/>
              <w:autoSpaceDN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查到公司的环境目标：固体废弃物有效处置率100%；火灾发生率0；生产废气、粉尘集尘处理率100%；设备隔音处理率100%；化学品泄露率为0</w:t>
            </w:r>
            <w:r>
              <w:rPr>
                <w:rFonts w:hint="eastAsia" w:ascii="宋体" w:hAnsi="宋体" w:cs="宋体"/>
                <w:sz w:val="21"/>
                <w:szCs w:val="21"/>
                <w:lang w:eastAsia="zh-CN"/>
              </w:rPr>
              <w:t>；</w:t>
            </w:r>
            <w:r>
              <w:rPr>
                <w:rFonts w:hint="eastAsia" w:ascii="宋体" w:hAnsi="宋体" w:cs="宋体"/>
                <w:sz w:val="21"/>
                <w:szCs w:val="21"/>
                <w:lang w:val="en-US" w:eastAsia="zh-CN"/>
              </w:rPr>
              <w:t>触电事故发生率0</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查到《2021-2022年度环境目标指标考核表 》，考核人：魏春鸽 高海娟  日期：2022年7月10日，以上能达标完成。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查到公司制定的20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年度“环境管理方案”，主要有加强化学品管理，防止潜在泄露事故；加强固体废物管理；降低设备噪声；火灾事故的发生等管理方案。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主要措施：加强电器设备的维护和保养；加强对于仓库和车间易燃部位管理，杜绝火灾隐患；确保厂区应急通道畅通；确保消防设施完好；加强火灾安全意识。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费用</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w:t>
            </w:r>
            <w:r>
              <w:rPr>
                <w:rFonts w:hint="eastAsia" w:ascii="宋体" w:hAnsi="宋体" w:eastAsia="宋体" w:cs="宋体"/>
                <w:sz w:val="21"/>
                <w:szCs w:val="21"/>
              </w:rPr>
              <w:t>000元，责任人曹书旺，完成期限20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月份，</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管理方案编制人：高海娟，批准：</w:t>
            </w:r>
            <w:r>
              <w:rPr>
                <w:rFonts w:hint="eastAsia" w:ascii="宋体" w:hAnsi="宋体" w:cs="宋体"/>
                <w:sz w:val="21"/>
                <w:szCs w:val="21"/>
                <w:lang w:eastAsia="zh-CN"/>
              </w:rPr>
              <w:t>魏春鸽</w:t>
            </w:r>
            <w:r>
              <w:rPr>
                <w:rFonts w:hint="eastAsia" w:ascii="宋体" w:hAnsi="宋体" w:eastAsia="宋体" w:cs="宋体"/>
                <w:sz w:val="21"/>
                <w:szCs w:val="21"/>
              </w:rPr>
              <w:t>，日期：20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另外抽查降低设备噪声的管理方案、加强固体废物管理的管理方案，制定了管理控制措施，明确的责任人、费用和完成期限，经过审批。</w:t>
            </w:r>
          </w:p>
          <w:p>
            <w:pPr>
              <w:autoSpaceDE w:val="0"/>
              <w:autoSpaceDN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管理方案由责任部门组织实施，目前在实施中，部分已完成。</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tcPr>
          <w:p>
            <w:pPr>
              <w:rPr>
                <w:szCs w:val="22"/>
              </w:rPr>
            </w:pPr>
          </w:p>
          <w:p>
            <w:pPr>
              <w:ind w:firstLine="420" w:firstLineChars="200"/>
              <w:rPr>
                <w:szCs w:val="22"/>
              </w:rPr>
            </w:pPr>
          </w:p>
          <w:p>
            <w:pPr>
              <w:ind w:firstLine="420" w:firstLineChars="200"/>
              <w:rPr>
                <w:szCs w:val="22"/>
              </w:rPr>
            </w:pPr>
          </w:p>
          <w:p>
            <w:pPr>
              <w:ind w:firstLine="420" w:firstLineChars="200"/>
            </w:pPr>
            <w:r>
              <w:rPr>
                <w:rFonts w:hint="eastAsia"/>
                <w:szCs w:val="22"/>
              </w:rPr>
              <w:t>能力、意识</w:t>
            </w:r>
          </w:p>
        </w:tc>
        <w:tc>
          <w:tcPr>
            <w:tcW w:w="960" w:type="dxa"/>
          </w:tcPr>
          <w:p>
            <w:pPr>
              <w:rPr>
                <w:szCs w:val="22"/>
              </w:rPr>
            </w:pPr>
          </w:p>
          <w:p>
            <w:pPr>
              <w:ind w:firstLine="210" w:firstLineChars="100"/>
              <w:rPr>
                <w:szCs w:val="22"/>
              </w:rPr>
            </w:pPr>
          </w:p>
          <w:p>
            <w:pPr>
              <w:ind w:firstLine="210" w:firstLineChars="100"/>
              <w:rPr>
                <w:szCs w:val="22"/>
              </w:rPr>
            </w:pPr>
          </w:p>
          <w:p>
            <w:pPr>
              <w:ind w:firstLine="210" w:firstLineChars="100"/>
              <w:rPr>
                <w:szCs w:val="22"/>
              </w:rPr>
            </w:pPr>
            <w:r>
              <w:rPr>
                <w:rFonts w:hint="eastAsia"/>
                <w:szCs w:val="22"/>
              </w:rPr>
              <w:t>7.2</w:t>
            </w:r>
          </w:p>
          <w:p>
            <w:pPr>
              <w:ind w:firstLine="210" w:firstLineChars="100"/>
            </w:pPr>
            <w:r>
              <w:rPr>
                <w:rFonts w:hint="eastAsia"/>
                <w:szCs w:val="22"/>
              </w:rPr>
              <w:t>7.3</w:t>
            </w:r>
          </w:p>
        </w:tc>
        <w:tc>
          <w:tcPr>
            <w:tcW w:w="10004" w:type="dxa"/>
          </w:tcPr>
          <w:p>
            <w:pPr>
              <w:spacing w:line="360" w:lineRule="auto"/>
              <w:ind w:firstLine="420" w:firstLineChars="200"/>
              <w:rPr>
                <w:rFonts w:ascii="宋体" w:hAnsi="宋体"/>
                <w:szCs w:val="21"/>
              </w:rPr>
            </w:pPr>
            <w:r>
              <w:rPr>
                <w:rFonts w:hint="eastAsia" w:ascii="宋体" w:hAnsi="宋体"/>
                <w:szCs w:val="21"/>
              </w:rPr>
              <w:t>查看《员工任职能力评价表》，其中包括：总经理、管代、各部门负责人等。能够满足公司环境管理体系运行以及体系覆盖产品生产和服务的需求。</w:t>
            </w:r>
            <w:bookmarkStart w:id="0" w:name="_GoBack"/>
            <w:bookmarkEnd w:id="0"/>
          </w:p>
          <w:p>
            <w:pPr>
              <w:spacing w:line="360" w:lineRule="auto"/>
              <w:ind w:firstLine="420" w:firstLineChars="200"/>
              <w:rPr>
                <w:rFonts w:ascii="宋体" w:hAnsi="宋体"/>
                <w:szCs w:val="21"/>
              </w:rPr>
            </w:pPr>
            <w:r>
              <w:rPr>
                <w:rFonts w:hint="eastAsia" w:ascii="宋体" w:hAnsi="宋体"/>
                <w:szCs w:val="21"/>
              </w:rPr>
              <w:t>查看2</w:t>
            </w:r>
            <w:r>
              <w:rPr>
                <w:rFonts w:hint="eastAsia" w:ascii="宋体" w:hAnsi="宋体"/>
                <w:szCs w:val="21"/>
                <w:lang w:val="en-US" w:eastAsia="zh-CN"/>
              </w:rPr>
              <w:t>022</w:t>
            </w:r>
            <w:r>
              <w:rPr>
                <w:rFonts w:hint="eastAsia" w:ascii="宋体" w:hAnsi="宋体"/>
                <w:szCs w:val="21"/>
              </w:rPr>
              <w:t>年培训计划表，内容包括：环境、安全基础知识培训、GB/T、24001标准各条款详解、环境因素识别、危险源辨别培训、管理方针、目标及管理方案等培训，查培训记录、参加培训人员、培训方式、内容、考核方式等内容，显示安排标准、管理手册和程序、法律法规和其他要求、方针、危险源、环境因素和关键特殊施工过程控制等培训。</w:t>
            </w:r>
          </w:p>
          <w:p>
            <w:pPr>
              <w:spacing w:line="360" w:lineRule="auto"/>
              <w:ind w:firstLine="420" w:firstLineChars="200"/>
              <w:rPr>
                <w:rFonts w:ascii="宋体" w:hAnsi="宋体"/>
                <w:szCs w:val="21"/>
              </w:rPr>
            </w:pPr>
            <w:r>
              <w:rPr>
                <w:rFonts w:hint="eastAsia" w:ascii="宋体" w:hAnsi="宋体"/>
                <w:szCs w:val="21"/>
              </w:rPr>
              <w:t>抽1：20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日在二楼会议室进行了</w:t>
            </w:r>
            <w:r>
              <w:rPr>
                <w:rFonts w:hint="eastAsia" w:ascii="宋体" w:hAnsi="宋体"/>
                <w:szCs w:val="21"/>
                <w:lang w:val="en-US" w:eastAsia="zh-CN"/>
              </w:rPr>
              <w:t>防火、灭火常识；安全疏散、逃生自救、库房消防安全管理</w:t>
            </w:r>
            <w:r>
              <w:rPr>
                <w:rFonts w:hint="eastAsia" w:ascii="宋体" w:hAnsi="宋体"/>
                <w:szCs w:val="21"/>
              </w:rPr>
              <w:t>知识培训，参加人员</w:t>
            </w:r>
            <w:r>
              <w:rPr>
                <w:rFonts w:hint="eastAsia" w:ascii="宋体" w:hAnsi="宋体"/>
                <w:szCs w:val="21"/>
                <w:lang w:val="en-US" w:eastAsia="zh-CN"/>
              </w:rPr>
              <w:t>张飞丽</w:t>
            </w:r>
            <w:r>
              <w:rPr>
                <w:rFonts w:hint="eastAsia" w:ascii="宋体" w:hAnsi="宋体"/>
                <w:szCs w:val="21"/>
              </w:rPr>
              <w:t>、</w:t>
            </w:r>
            <w:r>
              <w:rPr>
                <w:rFonts w:hint="eastAsia" w:ascii="宋体" w:hAnsi="宋体"/>
                <w:szCs w:val="21"/>
                <w:lang w:val="en-US" w:eastAsia="zh-CN"/>
              </w:rPr>
              <w:t>杨琪</w:t>
            </w:r>
            <w:r>
              <w:rPr>
                <w:rFonts w:hint="eastAsia" w:ascii="宋体" w:hAnsi="宋体"/>
                <w:szCs w:val="21"/>
              </w:rPr>
              <w:t>、</w:t>
            </w:r>
            <w:r>
              <w:rPr>
                <w:rFonts w:hint="eastAsia" w:ascii="宋体" w:hAnsi="宋体"/>
                <w:szCs w:val="21"/>
                <w:lang w:val="en-US" w:eastAsia="zh-CN"/>
              </w:rPr>
              <w:t>吴嘉魁</w:t>
            </w:r>
            <w:r>
              <w:rPr>
                <w:rFonts w:hint="eastAsia" w:ascii="宋体" w:hAnsi="宋体"/>
                <w:szCs w:val="21"/>
              </w:rPr>
              <w:t>、</w:t>
            </w:r>
            <w:r>
              <w:rPr>
                <w:rFonts w:hint="eastAsia" w:ascii="宋体" w:hAnsi="宋体"/>
                <w:szCs w:val="21"/>
                <w:lang w:val="en-US" w:eastAsia="zh-CN"/>
              </w:rPr>
              <w:t>杨逢春</w:t>
            </w:r>
            <w:r>
              <w:rPr>
                <w:rFonts w:hint="eastAsia" w:ascii="宋体" w:hAnsi="宋体"/>
                <w:szCs w:val="21"/>
              </w:rPr>
              <w:t>等</w:t>
            </w:r>
            <w:r>
              <w:rPr>
                <w:rFonts w:hint="eastAsia" w:ascii="宋体" w:hAnsi="宋体"/>
                <w:szCs w:val="21"/>
                <w:lang w:val="en-US" w:eastAsia="zh-CN"/>
              </w:rPr>
              <w:t>9</w:t>
            </w:r>
            <w:r>
              <w:rPr>
                <w:rFonts w:hint="eastAsia" w:ascii="宋体" w:hAnsi="宋体"/>
                <w:szCs w:val="21"/>
              </w:rPr>
              <w:t>人；培训效果评价，达到预期效果。评价人：</w:t>
            </w:r>
            <w:r>
              <w:rPr>
                <w:rFonts w:hint="eastAsia" w:ascii="宋体" w:hAnsi="宋体"/>
                <w:szCs w:val="21"/>
                <w:lang w:val="en-US" w:eastAsia="zh-CN"/>
              </w:rPr>
              <w:t>魏春鸽</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抽</w:t>
            </w:r>
            <w:r>
              <w:rPr>
                <w:rFonts w:hint="eastAsia" w:ascii="宋体" w:hAnsi="宋体"/>
                <w:szCs w:val="21"/>
                <w:lang w:val="en-US" w:eastAsia="zh-CN"/>
              </w:rPr>
              <w:t>2</w:t>
            </w:r>
            <w:r>
              <w:rPr>
                <w:rFonts w:hint="eastAsia" w:ascii="宋体" w:hAnsi="宋体"/>
                <w:szCs w:val="21"/>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color w:val="000000" w:themeColor="text1"/>
                <w:szCs w:val="21"/>
              </w:rPr>
              <w:t>环境法律法规培训记录。培训取得预期效果。参加人员：吴刚、魏西宁、顾小明、曹书旺、程鹏飞等</w:t>
            </w:r>
            <w:r>
              <w:rPr>
                <w:rFonts w:hint="eastAsia" w:ascii="宋体" w:hAnsi="宋体"/>
                <w:szCs w:val="21"/>
              </w:rPr>
              <w:t>训有效性评价：培训取得预期效果。评价人：高海娟 。</w:t>
            </w:r>
          </w:p>
          <w:p>
            <w:pPr>
              <w:spacing w:line="360" w:lineRule="auto"/>
              <w:ind w:firstLine="420" w:firstLineChars="200"/>
              <w:rPr>
                <w:rFonts w:ascii="宋体" w:hAnsi="宋体"/>
                <w:szCs w:val="21"/>
              </w:rPr>
            </w:pPr>
            <w:r>
              <w:rPr>
                <w:rFonts w:hint="eastAsia" w:ascii="宋体" w:hAnsi="宋体"/>
                <w:szCs w:val="21"/>
              </w:rPr>
              <w:t>提供相应的培训记录，及人员签到表和培训效果评价。</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提供叉车工：肖收林、韩新国、孟伟特种设备作业人员证，均在有效期内；</w:t>
            </w:r>
          </w:p>
          <w:p>
            <w:pPr>
              <w:spacing w:line="360" w:lineRule="auto"/>
              <w:ind w:firstLine="420" w:firstLineChars="200"/>
              <w:rPr>
                <w:rFonts w:hint="eastAsia" w:ascii="宋体" w:hAnsi="宋体"/>
                <w:szCs w:val="21"/>
              </w:rPr>
            </w:pPr>
            <w:r>
              <w:rPr>
                <w:rFonts w:hint="eastAsia" w:ascii="宋体" w:hAnsi="宋体"/>
                <w:szCs w:val="21"/>
                <w:lang w:val="en-US" w:eastAsia="zh-CN"/>
              </w:rPr>
              <w:t>提供焊工：祁小康；电工：曹书旺、张凡凡均在有效期内；见附件。</w:t>
            </w:r>
          </w:p>
          <w:p>
            <w:pPr>
              <w:spacing w:line="360" w:lineRule="auto"/>
              <w:rPr>
                <w:rFonts w:ascii="宋体" w:hAnsi="宋体"/>
                <w:szCs w:val="21"/>
              </w:rPr>
            </w:pPr>
            <w:r>
              <w:rPr>
                <w:rFonts w:hint="eastAsia" w:ascii="宋体" w:hAnsi="宋体"/>
                <w:szCs w:val="21"/>
              </w:rPr>
              <w:t>人力资源控制基本满足要求。</w:t>
            </w:r>
          </w:p>
          <w:p>
            <w:pPr>
              <w:spacing w:line="360" w:lineRule="auto"/>
              <w:ind w:firstLine="420" w:firstLineChars="200"/>
              <w:rPr>
                <w:rFonts w:ascii="宋体" w:hAnsi="宋体"/>
                <w:szCs w:val="21"/>
              </w:rPr>
            </w:pPr>
            <w:r>
              <w:rPr>
                <w:rFonts w:hint="eastAsia"/>
                <w:color w:val="000000" w:themeColor="text1"/>
                <w:lang w:eastAsia="zh-CN"/>
              </w:rPr>
              <w:t>魏春鸽</w:t>
            </w:r>
            <w:r>
              <w:rPr>
                <w:rFonts w:hint="eastAsia"/>
                <w:color w:val="000000" w:themeColor="text1"/>
              </w:rPr>
              <w:t>部长</w:t>
            </w:r>
            <w:r>
              <w:rPr>
                <w:rFonts w:hint="eastAsia" w:ascii="宋体" w:hAnsi="宋体"/>
                <w:szCs w:val="21"/>
              </w:rPr>
              <w:t>介绍到通过培训、面谈等沟通方式，提高了员工的素质，增强了员工的环保意识，员工认识到了自身贡献的重要性，目前公司人员比较稳定，人员没有变化，没有新员工，故，没有新员工培训记录</w:t>
            </w:r>
          </w:p>
          <w:p>
            <w:pPr>
              <w:spacing w:line="360" w:lineRule="auto"/>
              <w:rPr>
                <w:rFonts w:ascii="宋体" w:hAnsi="宋体"/>
                <w:szCs w:val="21"/>
              </w:rPr>
            </w:pPr>
            <w:r>
              <w:rPr>
                <w:rFonts w:hint="eastAsia" w:ascii="宋体" w:hAnsi="宋体"/>
                <w:szCs w:val="21"/>
              </w:rPr>
              <w:t>企业已对人力资源的管理、控制进行了策划，并已实施控制，针对体系文件的系统学习进行了交流。</w:t>
            </w:r>
          </w:p>
        </w:tc>
        <w:tc>
          <w:tcPr>
            <w:tcW w:w="1585" w:type="dxa"/>
          </w:tcPr>
          <w:p/>
          <w:p/>
          <w:p/>
          <w:p>
            <w:r>
              <w:rPr>
                <w:rFonts w:hint="eastAsia" w:ascii="宋体" w:hAnsi="宋体" w:cs="宋体"/>
                <w:sz w:val="21"/>
                <w:szCs w:val="21"/>
                <w:lang w:val="en-US" w:eastAsia="zh-CN"/>
              </w:rPr>
              <w:t>Y</w:t>
            </w:r>
          </w:p>
          <w:p/>
          <w:p/>
          <w:p/>
          <w:p/>
          <w:p/>
          <w:p/>
          <w:p/>
          <w:p/>
          <w:p/>
          <w:p/>
          <w:p/>
          <w:p>
            <w:pPr>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2"/>
              </w:rPr>
            </w:pPr>
          </w:p>
          <w:p>
            <w:pPr>
              <w:rPr>
                <w:szCs w:val="22"/>
              </w:rPr>
            </w:pPr>
          </w:p>
          <w:p>
            <w:pPr>
              <w:rPr>
                <w:szCs w:val="22"/>
              </w:rPr>
            </w:pPr>
            <w:r>
              <w:rPr>
                <w:rFonts w:hint="eastAsia"/>
                <w:szCs w:val="22"/>
              </w:rPr>
              <w:t>形成文件的信息总则</w:t>
            </w:r>
          </w:p>
        </w:tc>
        <w:tc>
          <w:tcPr>
            <w:tcW w:w="960" w:type="dxa"/>
          </w:tcPr>
          <w:p>
            <w:pPr>
              <w:rPr>
                <w:szCs w:val="22"/>
              </w:rPr>
            </w:pPr>
          </w:p>
          <w:p>
            <w:pPr>
              <w:rPr>
                <w:szCs w:val="22"/>
              </w:rPr>
            </w:pPr>
          </w:p>
          <w:p>
            <w:pPr>
              <w:rPr>
                <w:szCs w:val="22"/>
              </w:rPr>
            </w:pPr>
            <w:r>
              <w:rPr>
                <w:rFonts w:hint="eastAsia"/>
                <w:szCs w:val="22"/>
              </w:rPr>
              <w:t>7.5.1</w:t>
            </w:r>
          </w:p>
          <w:p>
            <w:pPr>
              <w:rPr>
                <w:szCs w:val="22"/>
              </w:rPr>
            </w:pPr>
          </w:p>
        </w:tc>
        <w:tc>
          <w:tcPr>
            <w:tcW w:w="10004" w:type="dxa"/>
          </w:tcPr>
          <w:p>
            <w:pPr>
              <w:spacing w:line="360" w:lineRule="auto"/>
              <w:rPr>
                <w:rFonts w:hint="eastAsia" w:ascii="宋体" w:hAnsi="宋体" w:eastAsia="宋体"/>
                <w:szCs w:val="21"/>
                <w:lang w:eastAsia="zh-CN"/>
              </w:rPr>
            </w:pPr>
            <w:r>
              <w:rPr>
                <w:rFonts w:hint="eastAsia"/>
                <w:color w:val="000000" w:themeColor="text1"/>
                <w:lang w:eastAsia="zh-CN"/>
              </w:rPr>
              <w:t>魏春鸽</w:t>
            </w:r>
            <w:r>
              <w:rPr>
                <w:rFonts w:hint="eastAsia"/>
                <w:color w:val="000000" w:themeColor="text1"/>
              </w:rPr>
              <w:t>部长</w:t>
            </w:r>
            <w:r>
              <w:rPr>
                <w:rFonts w:hint="eastAsia" w:ascii="宋体" w:hAnsi="宋体"/>
                <w:szCs w:val="21"/>
              </w:rPr>
              <w:t>介绍：企业根据公司建立了管理体系的要求及其体系覆盖范围、企业员工的文化水平、各过程的控制难易程度、企业的实际情况建立了管理体系，企业环境管理体系文件主要包括： 管理手册</w:t>
            </w:r>
            <w:r>
              <w:rPr>
                <w:rFonts w:hint="eastAsia" w:ascii="宋体" w:hAnsi="宋体"/>
                <w:szCs w:val="21"/>
                <w:lang w:eastAsia="zh-CN"/>
              </w:rPr>
              <w:t>、</w:t>
            </w:r>
            <w:r>
              <w:rPr>
                <w:rFonts w:hint="eastAsia" w:ascii="宋体" w:hAnsi="宋体"/>
                <w:szCs w:val="21"/>
              </w:rPr>
              <w:t>程序文件</w:t>
            </w:r>
            <w:r>
              <w:rPr>
                <w:rFonts w:hint="eastAsia" w:ascii="宋体" w:hAnsi="宋体"/>
                <w:szCs w:val="21"/>
                <w:lang w:eastAsia="zh-CN"/>
              </w:rPr>
              <w:t>、</w:t>
            </w:r>
          </w:p>
          <w:p>
            <w:pPr>
              <w:spacing w:line="360" w:lineRule="auto"/>
              <w:rPr>
                <w:rFonts w:ascii="宋体" w:hAnsi="宋体"/>
                <w:szCs w:val="21"/>
              </w:rPr>
            </w:pPr>
            <w:r>
              <w:rPr>
                <w:rFonts w:hint="eastAsia" w:ascii="宋体" w:hAnsi="宋体"/>
                <w:szCs w:val="21"/>
              </w:rPr>
              <w:t>管理制度</w:t>
            </w:r>
            <w:r>
              <w:rPr>
                <w:rFonts w:hint="eastAsia" w:ascii="宋体" w:hAnsi="宋体"/>
                <w:szCs w:val="21"/>
                <w:lang w:eastAsia="zh-CN"/>
              </w:rPr>
              <w:t>、</w:t>
            </w:r>
            <w:r>
              <w:rPr>
                <w:rFonts w:hint="eastAsia" w:ascii="宋体" w:hAnsi="宋体"/>
                <w:szCs w:val="21"/>
              </w:rPr>
              <w:t>外来文件</w:t>
            </w:r>
            <w:r>
              <w:rPr>
                <w:rFonts w:hint="eastAsia" w:ascii="宋体" w:hAnsi="宋体"/>
                <w:szCs w:val="21"/>
                <w:lang w:eastAsia="zh-CN"/>
              </w:rPr>
              <w:t>、</w:t>
            </w:r>
            <w:r>
              <w:rPr>
                <w:rFonts w:hint="eastAsia" w:ascii="宋体" w:hAnsi="宋体"/>
                <w:szCs w:val="21"/>
              </w:rPr>
              <w:t>体系运行的记录。</w:t>
            </w:r>
          </w:p>
          <w:p>
            <w:pPr>
              <w:spacing w:line="360" w:lineRule="auto"/>
              <w:rPr>
                <w:rFonts w:ascii="宋体" w:hAnsi="宋体"/>
                <w:szCs w:val="21"/>
              </w:rPr>
            </w:pPr>
            <w:r>
              <w:rPr>
                <w:rFonts w:hint="eastAsia" w:ascii="宋体" w:hAnsi="宋体"/>
                <w:szCs w:val="21"/>
              </w:rPr>
              <w:t>企业编制了以上文件经吴承灿批准，于2019年1月1日发布实施</w:t>
            </w:r>
            <w:r>
              <w:rPr>
                <w:rFonts w:hint="eastAsia" w:ascii="宋体" w:hAnsi="宋体"/>
                <w:szCs w:val="21"/>
                <w:lang w:eastAsia="zh-CN"/>
              </w:rPr>
              <w:t>，</w:t>
            </w:r>
            <w:r>
              <w:rPr>
                <w:rFonts w:hint="eastAsia" w:ascii="宋体" w:hAnsi="宋体"/>
                <w:szCs w:val="21"/>
                <w:lang w:val="en-US" w:eastAsia="zh-CN"/>
              </w:rPr>
              <w:t>经运行未进行修改</w:t>
            </w:r>
            <w:r>
              <w:rPr>
                <w:rFonts w:hint="eastAsia" w:ascii="宋体" w:hAnsi="宋体"/>
                <w:szCs w:val="21"/>
              </w:rPr>
              <w:t>。</w:t>
            </w:r>
          </w:p>
          <w:p>
            <w:pPr>
              <w:spacing w:line="360" w:lineRule="auto"/>
            </w:pPr>
            <w:r>
              <w:rPr>
                <w:rFonts w:hint="eastAsia" w:ascii="宋体" w:hAnsi="宋体"/>
                <w:szCs w:val="21"/>
              </w:rPr>
              <w:t>企业手册依据标准的要求，对企业适用情况进行了描述。</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tcPr>
          <w:p>
            <w:pPr>
              <w:rPr>
                <w:szCs w:val="22"/>
              </w:rPr>
            </w:pPr>
          </w:p>
          <w:p>
            <w:pPr>
              <w:rPr>
                <w:szCs w:val="22"/>
              </w:rPr>
            </w:pPr>
          </w:p>
          <w:p>
            <w:pPr>
              <w:rPr>
                <w:szCs w:val="22"/>
              </w:rPr>
            </w:pPr>
            <w:r>
              <w:rPr>
                <w:rFonts w:ascii="楷体" w:hAnsi="楷体" w:eastAsia="楷体"/>
                <w:sz w:val="24"/>
                <w:szCs w:val="24"/>
              </w:rPr>
              <w:t>文件控制</w:t>
            </w:r>
          </w:p>
        </w:tc>
        <w:tc>
          <w:tcPr>
            <w:tcW w:w="960" w:type="dxa"/>
          </w:tcPr>
          <w:p>
            <w:pPr>
              <w:rPr>
                <w:szCs w:val="22"/>
              </w:rPr>
            </w:pPr>
          </w:p>
          <w:p>
            <w:pPr>
              <w:rPr>
                <w:szCs w:val="22"/>
              </w:rPr>
            </w:pPr>
          </w:p>
          <w:p>
            <w:pPr>
              <w:rPr>
                <w:szCs w:val="22"/>
              </w:rPr>
            </w:pPr>
            <w:r>
              <w:rPr>
                <w:rFonts w:hint="eastAsia"/>
                <w:szCs w:val="22"/>
              </w:rPr>
              <w:t>7.5.2</w:t>
            </w:r>
          </w:p>
          <w:p>
            <w:pPr>
              <w:rPr>
                <w:szCs w:val="22"/>
              </w:rPr>
            </w:pPr>
            <w:r>
              <w:rPr>
                <w:rFonts w:hint="eastAsia"/>
                <w:szCs w:val="22"/>
              </w:rPr>
              <w:t>7.5.3</w:t>
            </w:r>
          </w:p>
        </w:tc>
        <w:tc>
          <w:tcPr>
            <w:tcW w:w="10004" w:type="dxa"/>
          </w:tcPr>
          <w:p>
            <w:pPr>
              <w:spacing w:line="360" w:lineRule="auto"/>
              <w:rPr>
                <w:rFonts w:ascii="宋体" w:hAnsi="宋体"/>
                <w:szCs w:val="21"/>
              </w:rPr>
            </w:pPr>
            <w:r>
              <w:rPr>
                <w:rFonts w:hint="eastAsia" w:ascii="宋体" w:hAnsi="宋体"/>
                <w:szCs w:val="21"/>
              </w:rPr>
              <w:t>企业编制了《文件和记录控制程序》，规定了有关企业文件、记录编制、标识、外来文件的收集编制、控制、管理要求。</w:t>
            </w:r>
          </w:p>
          <w:p>
            <w:pPr>
              <w:spacing w:line="360" w:lineRule="auto"/>
              <w:rPr>
                <w:rFonts w:ascii="宋体" w:hAnsi="宋体"/>
                <w:szCs w:val="21"/>
              </w:rPr>
            </w:pPr>
            <w:r>
              <w:rPr>
                <w:rFonts w:hint="eastAsia" w:ascii="宋体" w:hAnsi="宋体"/>
                <w:szCs w:val="21"/>
              </w:rPr>
              <w:t xml:space="preserve">企业提供了针对以上文件的《文件发放记录》，记录了以上有关体系文件的发放情况。 </w:t>
            </w:r>
          </w:p>
          <w:p>
            <w:pPr>
              <w:spacing w:line="360" w:lineRule="auto"/>
              <w:rPr>
                <w:rFonts w:ascii="宋体" w:hAnsi="宋体"/>
                <w:szCs w:val="21"/>
              </w:rPr>
            </w:pPr>
            <w:r>
              <w:rPr>
                <w:rFonts w:hint="eastAsia" w:ascii="宋体" w:hAnsi="宋体"/>
                <w:szCs w:val="21"/>
              </w:rPr>
              <w:t>提供了《法律法规清单》列入了相关机械加工生产的质量、安全、环境法规外来文件，并形成文件的信息的控制。对以上进行识别、收集。</w:t>
            </w:r>
          </w:p>
          <w:p>
            <w:pPr>
              <w:spacing w:line="360" w:lineRule="auto"/>
            </w:pPr>
            <w:r>
              <w:rPr>
                <w:rFonts w:hint="eastAsia" w:ascii="宋体" w:hAnsi="宋体"/>
                <w:szCs w:val="21"/>
              </w:rPr>
              <w:t>由综合部负责通过到主管部门、网上收集、标准发布部门进行购买，并对外来文件的识别、跟踪、控制。</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8.1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2008年11月公司整体搬迁环评报告，查到2008年12月8日咸阳市高新区环境监察大队环评报告批复报告，查到咸阳市高新区环境保护局2016年12月30日公司主体搬迁项目竣工环境保护验收的复函，公司已经通过了环评验收。具体见附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企业2019年企业发展在原厂区扩建占地面积10514m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厂房，总投资1000万元，增加1条渗碳淬火生产线，及各类机床、压力机、磨床、车床、切割机等共计119台套，主要用于机械零件热处理、锻造及汽车零配件生产，新增机械零配件加工、锻造量3000t/a、汽车零配件2000t/a，</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提供2019.2《陕西石竹能源科技有限公司新扩增年产2000 吨汽车零配件生产线项目环境影响报告表》及咸环高评函[2019]14号《咸阳市环境保护局高新分局关于陕西石竹能源科技有限公司新扩增年产2000吨汽车零配件生产线项目环境影响报告表的批复》；2020.7《陕西石竹能源科技有限公司新扩增年产2000吨汽车零配件生产线项目(废气、废水、噪声)阶段性竣工环境保护验收监测报告表》，见附件。</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公司位于咸阳市高新区工业区内，周边是居民和其他单位。根据需要建设有办公楼、车间、仓库，厂区有停车位和消防栓。</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按公司要求人走关灯，办公室内电脑要求人走后电源切断。办公室内垃圾主要包含可回收垃圾、硒鼓、废纸。公司配置了垃圾箱，综合部统一处理。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对可回收的固体废弃物，一部分由厂家回收，厂家不回收的公司统一回收再利用或由物资回收公司处理。不可回收的废弃物由公司综合部统一处理，各部门不得单独处理。</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日与陕西明瑞资源再生有限公司签订了危险废物处置合同，经查处理方有处理资质</w:t>
            </w:r>
            <w:r>
              <w:rPr>
                <w:rFonts w:hint="eastAsia" w:ascii="宋体" w:hAnsi="宋体" w:eastAsia="宋体" w:cs="宋体"/>
                <w:sz w:val="21"/>
                <w:szCs w:val="21"/>
                <w:lang w:val="en-US" w:eastAsia="zh-CN"/>
              </w:rPr>
              <w:t>及202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年《危险废物转移联单》，</w:t>
            </w:r>
            <w:r>
              <w:rPr>
                <w:rFonts w:hint="eastAsia" w:ascii="宋体" w:hAnsi="宋体" w:eastAsia="宋体" w:cs="宋体"/>
                <w:sz w:val="21"/>
                <w:szCs w:val="21"/>
              </w:rPr>
              <w:t>上交处理废抹布、废机油、废切削液</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drawing>
                <wp:anchor distT="0" distB="0" distL="114300" distR="114300" simplePos="0" relativeHeight="251663360" behindDoc="0" locked="0" layoutInCell="1" allowOverlap="1">
                  <wp:simplePos x="0" y="0"/>
                  <wp:positionH relativeFrom="column">
                    <wp:posOffset>4140200</wp:posOffset>
                  </wp:positionH>
                  <wp:positionV relativeFrom="paragraph">
                    <wp:posOffset>60960</wp:posOffset>
                  </wp:positionV>
                  <wp:extent cx="1886585" cy="2584450"/>
                  <wp:effectExtent l="0" t="0" r="5715"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886585" cy="258445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2216150</wp:posOffset>
                  </wp:positionH>
                  <wp:positionV relativeFrom="paragraph">
                    <wp:posOffset>57785</wp:posOffset>
                  </wp:positionV>
                  <wp:extent cx="1840230" cy="2583180"/>
                  <wp:effectExtent l="0" t="0" r="127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40230" cy="258318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234950</wp:posOffset>
                  </wp:positionH>
                  <wp:positionV relativeFrom="paragraph">
                    <wp:posOffset>54610</wp:posOffset>
                  </wp:positionV>
                  <wp:extent cx="1911985" cy="2590800"/>
                  <wp:effectExtent l="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11985" cy="2590800"/>
                          </a:xfrm>
                          <a:prstGeom prst="rect">
                            <a:avLst/>
                          </a:prstGeom>
                          <a:noFill/>
                          <a:ln>
                            <a:noFill/>
                          </a:ln>
                        </pic:spPr>
                      </pic:pic>
                    </a:graphicData>
                  </a:graphic>
                </wp:anchor>
              </w:drawing>
            </w: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与西安海</w:t>
            </w:r>
            <w:r>
              <w:rPr>
                <w:rFonts w:hint="eastAsia" w:ascii="宋体" w:hAnsi="宋体" w:cs="宋体"/>
                <w:sz w:val="21"/>
                <w:szCs w:val="21"/>
                <w:lang w:val="en-US" w:eastAsia="zh-CN"/>
              </w:rPr>
              <w:t>江鑫物资收购有限</w:t>
            </w:r>
            <w:r>
              <w:rPr>
                <w:rFonts w:hint="eastAsia" w:ascii="宋体" w:hAnsi="宋体" w:eastAsia="宋体" w:cs="宋体"/>
                <w:sz w:val="21"/>
                <w:szCs w:val="21"/>
                <w:lang w:val="en-US" w:eastAsia="zh-CN"/>
              </w:rPr>
              <w:t>公司</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.1日</w:t>
            </w:r>
            <w:r>
              <w:rPr>
                <w:rFonts w:hint="eastAsia" w:ascii="宋体" w:hAnsi="宋体" w:eastAsia="宋体" w:cs="宋体"/>
                <w:sz w:val="21"/>
                <w:szCs w:val="21"/>
                <w:lang w:val="en-US" w:eastAsia="zh-CN"/>
              </w:rPr>
              <w:t>签订《固废</w:t>
            </w:r>
            <w:r>
              <w:rPr>
                <w:rFonts w:hint="eastAsia" w:ascii="宋体" w:hAnsi="宋体" w:cs="宋体"/>
                <w:sz w:val="21"/>
                <w:szCs w:val="21"/>
                <w:lang w:val="en-US" w:eastAsia="zh-CN"/>
              </w:rPr>
              <w:t>物（铁屑）委托处置</w:t>
            </w:r>
            <w:r>
              <w:rPr>
                <w:rFonts w:hint="eastAsia" w:ascii="宋体" w:hAnsi="宋体" w:eastAsia="宋体" w:cs="宋体"/>
                <w:sz w:val="21"/>
                <w:szCs w:val="21"/>
                <w:lang w:val="en-US" w:eastAsia="zh-CN"/>
              </w:rPr>
              <w:t>合同》；</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2019.11.25取得咸阳市生态环境局《排污许可证》有效期2022.11.24排污内容:废气、废水、有组织无组织气体等符合：GB16297-1996大气污染物综合排放标准,GB 9078-1996工业炉密大气污染物排放标准后进行排放。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生活污水经化粪池简单处理后排入市政污水管网。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综合部内主要是电的使用，电器有漏电保护器，经常对电路、电源进行检查，没有露电现象发生。现场巡视办公区域消防栓、灭火器正常，电线、电气插座完整，未见破损，空调设定在26℃。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食堂地面干净，餐桌干净卫生，配有空调和风扇，餐厅和操作间有灭火器，食堂作业使用电器和液化气。有冰柜储存冷鲜食物，有消毒柜对碗筷进行日常消毒处理，菜板和刀具区分生、熟食。刀具有专门存放位置、使用时注意安全，查食堂作业人员均有健康证。垃圾、剩饭倒入垃圾桶，每天由当地环卫部门统一清运处理，现场巡查未发现异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综合部部门运行控制基本符合规定要求。</w:t>
            </w:r>
          </w:p>
          <w:p>
            <w:pPr>
              <w:bidi w:val="0"/>
              <w:jc w:val="left"/>
              <w:rPr>
                <w:rFonts w:hint="eastAsia"/>
                <w:lang w:val="en-US" w:eastAsia="zh-CN"/>
              </w:rPr>
            </w:pP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p>
          <w:p>
            <w:pPr>
              <w:spacing w:line="360" w:lineRule="auto"/>
              <w:ind w:firstLine="210" w:firstLineChars="100"/>
              <w:rPr>
                <w:rFonts w:hint="eastAsia" w:ascii="宋体" w:hAnsi="宋体" w:eastAsia="宋体" w:cs="宋体"/>
                <w:bCs/>
                <w:sz w:val="21"/>
                <w:szCs w:val="21"/>
              </w:rPr>
            </w:pP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p>
        </w:tc>
        <w:tc>
          <w:tcPr>
            <w:tcW w:w="10004" w:type="dxa"/>
            <w:vAlign w:val="top"/>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提供了《应急准备和响应控制程序》、</w:t>
            </w:r>
            <w:r>
              <w:rPr>
                <w:rFonts w:hint="eastAsia" w:ascii="宋体" w:hAnsi="宋体" w:cs="宋体"/>
                <w:sz w:val="21"/>
                <w:szCs w:val="21"/>
                <w:lang w:val="en-US" w:eastAsia="zh-CN"/>
              </w:rPr>
              <w:t>《陕西石竹能源科技有限公司  消防队员训练实施方案》、《消防安全管理制度》、</w:t>
            </w:r>
            <w:r>
              <w:rPr>
                <w:rFonts w:hint="eastAsia" w:ascii="宋体" w:hAnsi="宋体" w:eastAsia="宋体" w:cs="宋体"/>
                <w:sz w:val="21"/>
                <w:szCs w:val="21"/>
              </w:rPr>
              <w:t>《消防安全应急预案》其中包括目的、适用范围、职责、应急领导小组成员职责、程序、现场应急措施等，相关内容基本充分。</w:t>
            </w:r>
          </w:p>
          <w:p>
            <w:pPr>
              <w:tabs>
                <w:tab w:val="left" w:pos="6597"/>
              </w:tabs>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查《微型消防站消防装备出入库登记》消防《业务训练登记表》、《消防巡查记录表》</w:t>
            </w:r>
          </w:p>
          <w:p>
            <w:pPr>
              <w:tabs>
                <w:tab w:val="left" w:pos="6597"/>
              </w:tabs>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查到《消防应急预案演练记录》，202</w:t>
            </w:r>
            <w:r>
              <w:rPr>
                <w:rFonts w:hint="eastAsia" w:ascii="宋体" w:hAnsi="宋体" w:cs="宋体"/>
                <w:sz w:val="21"/>
                <w:szCs w:val="21"/>
                <w:lang w:val="en-US" w:eastAsia="zh-CN"/>
              </w:rPr>
              <w:t>2</w:t>
            </w:r>
            <w:r>
              <w:rPr>
                <w:rFonts w:hint="eastAsia" w:ascii="宋体" w:hAnsi="宋体" w:eastAsia="宋体" w:cs="宋体"/>
                <w:sz w:val="21"/>
                <w:szCs w:val="21"/>
              </w:rPr>
              <w:t>.3.</w:t>
            </w:r>
            <w:r>
              <w:rPr>
                <w:rFonts w:hint="eastAsia" w:ascii="宋体" w:hAnsi="宋体" w:cs="宋体"/>
                <w:sz w:val="21"/>
                <w:szCs w:val="21"/>
                <w:lang w:val="en-US" w:eastAsia="zh-CN"/>
              </w:rPr>
              <w:t>25</w:t>
            </w:r>
            <w:r>
              <w:rPr>
                <w:rFonts w:hint="eastAsia" w:ascii="宋体" w:hAnsi="宋体" w:eastAsia="宋体" w:cs="宋体"/>
                <w:sz w:val="21"/>
                <w:szCs w:val="21"/>
              </w:rPr>
              <w:t>日公司全体人员参与了消防演练，记录了演练过程，对演练中的一些常规知识进行了现场讲评。演练后对应急预案的适宜性、充分性进行了评审，结论：应急准备充分，具有可操作性，应急预案不需修改。记录人</w:t>
            </w:r>
            <w:r>
              <w:rPr>
                <w:rFonts w:hint="eastAsia" w:ascii="宋体" w:hAnsi="宋体" w:cs="宋体"/>
                <w:sz w:val="21"/>
                <w:szCs w:val="21"/>
                <w:lang w:eastAsia="zh-CN"/>
              </w:rPr>
              <w:t>魏春鸽</w:t>
            </w:r>
            <w:r>
              <w:rPr>
                <w:rFonts w:hint="eastAsia" w:ascii="宋体" w:hAnsi="宋体" w:eastAsia="宋体" w:cs="宋体"/>
                <w:sz w:val="21"/>
                <w:szCs w:val="21"/>
              </w:rPr>
              <w:t>，审批顾晓明</w:t>
            </w:r>
            <w:r>
              <w:rPr>
                <w:rFonts w:hint="eastAsia" w:ascii="宋体" w:hAnsi="宋体" w:eastAsia="宋体" w:cs="宋体"/>
                <w:sz w:val="21"/>
                <w:szCs w:val="21"/>
                <w:lang w:eastAsia="zh-CN"/>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查到消防器材登记表、消防器材存放位置登记表，消防器材较充分。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公司有微型消防站一处，现场查看办公楼有消防栓和灭火器，状态正常。</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查到“消防巡查记录表”，</w:t>
            </w:r>
            <w:r>
              <w:rPr>
                <w:rFonts w:hint="eastAsia" w:ascii="宋体" w:hAnsi="宋体" w:cs="宋体"/>
                <w:sz w:val="21"/>
                <w:szCs w:val="21"/>
                <w:lang w:val="en-US" w:eastAsia="zh-CN"/>
              </w:rPr>
              <w:t>2022.6.11日</w:t>
            </w:r>
            <w:r>
              <w:rPr>
                <w:rFonts w:hint="eastAsia" w:ascii="宋体" w:hAnsi="宋体" w:eastAsia="宋体" w:cs="宋体"/>
                <w:sz w:val="21"/>
                <w:szCs w:val="21"/>
              </w:rPr>
              <w:t>曹书旺进行了消防通道、应急灯、灭火器点检，正常。</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自体系运行以来尚未发生紧急情况。</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监视、测量、分析和评价</w:t>
            </w:r>
          </w:p>
        </w:tc>
        <w:tc>
          <w:tcPr>
            <w:tcW w:w="960" w:type="dxa"/>
            <w:vAlign w:val="center"/>
          </w:tcPr>
          <w:p>
            <w:pPr>
              <w:tabs>
                <w:tab w:val="left" w:pos="6597"/>
              </w:tabs>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 xml:space="preserve">9.1.1  </w:t>
            </w:r>
          </w:p>
        </w:tc>
        <w:tc>
          <w:tcPr>
            <w:tcW w:w="10004" w:type="dxa"/>
            <w:vAlign w:val="center"/>
          </w:tcPr>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sz w:val="21"/>
                <w:szCs w:val="21"/>
              </w:rPr>
              <w:t>查到《环境目标指标考核表》，记录了公司质量、环境、职业健康安全目标完成情</w:t>
            </w:r>
            <w:r>
              <w:rPr>
                <w:rFonts w:hint="eastAsia" w:ascii="宋体" w:hAnsi="宋体" w:eastAsia="宋体" w:cs="宋体"/>
                <w:color w:val="000000" w:themeColor="text1"/>
                <w:sz w:val="21"/>
                <w:szCs w:val="21"/>
              </w:rPr>
              <w:t>况，20</w:t>
            </w:r>
            <w:r>
              <w:rPr>
                <w:rFonts w:hint="eastAsia" w:ascii="宋体" w:hAnsi="宋体" w:cs="宋体"/>
                <w:color w:val="000000" w:themeColor="text1"/>
                <w:sz w:val="21"/>
                <w:szCs w:val="21"/>
                <w:lang w:val="en-US" w:eastAsia="zh-CN"/>
              </w:rPr>
              <w:t>22</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7</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10</w:t>
            </w:r>
            <w:r>
              <w:rPr>
                <w:rFonts w:hint="eastAsia" w:ascii="宋体" w:hAnsi="宋体" w:eastAsia="宋体" w:cs="宋体"/>
                <w:color w:val="000000" w:themeColor="text1"/>
                <w:sz w:val="21"/>
                <w:szCs w:val="21"/>
              </w:rPr>
              <w:t>完成情况：目标均已完成。</w:t>
            </w:r>
          </w:p>
          <w:p>
            <w:pPr>
              <w:widowControl/>
              <w:spacing w:line="360" w:lineRule="auto"/>
              <w:ind w:left="48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查到20</w:t>
            </w:r>
            <w:r>
              <w:rPr>
                <w:rFonts w:hint="eastAsia" w:ascii="宋体" w:hAnsi="宋体" w:cs="宋体"/>
                <w:color w:val="000000" w:themeColor="text1"/>
                <w:sz w:val="21"/>
                <w:szCs w:val="21"/>
                <w:lang w:val="en-US" w:eastAsia="zh-CN"/>
              </w:rPr>
              <w:t>22.4</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12</w:t>
            </w:r>
            <w:r>
              <w:rPr>
                <w:rFonts w:hint="eastAsia" w:ascii="宋体" w:hAnsi="宋体" w:eastAsia="宋体" w:cs="宋体"/>
                <w:color w:val="000000" w:themeColor="text1"/>
                <w:sz w:val="21"/>
                <w:szCs w:val="21"/>
              </w:rPr>
              <w:t>日《环境管理方案监测表》，公司制定的管理方案措施7项</w:t>
            </w:r>
            <w:r>
              <w:rPr>
                <w:rFonts w:hint="eastAsia" w:ascii="宋体" w:hAnsi="宋体" w:cs="宋体"/>
                <w:color w:val="000000" w:themeColor="text1"/>
                <w:sz w:val="21"/>
                <w:szCs w:val="21"/>
                <w:lang w:val="en-US" w:eastAsia="zh-CN"/>
              </w:rPr>
              <w:t>均</w:t>
            </w:r>
            <w:r>
              <w:rPr>
                <w:rFonts w:hint="eastAsia" w:ascii="宋体" w:hAnsi="宋体" w:eastAsia="宋体" w:cs="宋体"/>
                <w:color w:val="000000" w:themeColor="text1"/>
                <w:sz w:val="21"/>
                <w:szCs w:val="21"/>
              </w:rPr>
              <w:t>完成，检查人：</w:t>
            </w:r>
            <w:r>
              <w:rPr>
                <w:rFonts w:hint="eastAsia" w:ascii="宋体" w:hAnsi="宋体" w:cs="宋体"/>
                <w:color w:val="000000" w:themeColor="text1"/>
                <w:sz w:val="21"/>
                <w:szCs w:val="21"/>
                <w:lang w:eastAsia="zh-CN"/>
              </w:rPr>
              <w:t>魏春鸽</w:t>
            </w:r>
            <w:r>
              <w:rPr>
                <w:rFonts w:hint="eastAsia" w:ascii="宋体" w:hAnsi="宋体" w:eastAsia="宋体" w:cs="宋体"/>
                <w:color w:val="000000" w:themeColor="text1"/>
                <w:sz w:val="21"/>
                <w:szCs w:val="21"/>
              </w:rPr>
              <w:t>、顾小明、吴刚、魏春鸽。</w:t>
            </w:r>
          </w:p>
          <w:p>
            <w:pPr>
              <w:widowControl/>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提供《环境安全管理检查记录》，每月对各部门进行环境安全事项的例行检查，检查项目包括资源能源使用、固体废弃物管理、污水控制、噪声控制、消防设施管理、管理方案控制等。</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查到</w:t>
            </w:r>
            <w:r>
              <w:rPr>
                <w:rFonts w:hint="eastAsia" w:ascii="宋体" w:hAnsi="宋体" w:cs="宋体"/>
                <w:color w:val="000000" w:themeColor="text1"/>
                <w:sz w:val="21"/>
                <w:szCs w:val="21"/>
                <w:lang w:val="en-US" w:eastAsia="zh-CN"/>
              </w:rPr>
              <w:t>2021年7月27日</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陕西方清环境科技有限公司，陕方清监字（2021</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第07164</w:t>
            </w:r>
            <w:r>
              <w:rPr>
                <w:rFonts w:hint="eastAsia" w:ascii="宋体" w:hAnsi="宋体" w:eastAsia="宋体" w:cs="宋体"/>
                <w:color w:val="000000" w:themeColor="text1"/>
                <w:sz w:val="21"/>
                <w:szCs w:val="21"/>
                <w:lang w:val="en-US" w:eastAsia="zh-CN"/>
              </w:rPr>
              <w:t>号《监测报告》对</w:t>
            </w:r>
            <w:r>
              <w:rPr>
                <w:rFonts w:hint="eastAsia" w:ascii="宋体" w:hAnsi="宋体" w:cs="宋体"/>
                <w:color w:val="000000" w:themeColor="text1"/>
                <w:sz w:val="21"/>
                <w:szCs w:val="21"/>
                <w:lang w:val="en-US" w:eastAsia="zh-CN"/>
              </w:rPr>
              <w:t>公司的</w:t>
            </w:r>
            <w:r>
              <w:rPr>
                <w:rFonts w:hint="eastAsia" w:ascii="宋体" w:hAnsi="宋体" w:eastAsia="宋体" w:cs="宋体"/>
                <w:color w:val="000000" w:themeColor="text1"/>
                <w:sz w:val="21"/>
                <w:szCs w:val="21"/>
                <w:lang w:val="en-US" w:eastAsia="zh-CN"/>
              </w:rPr>
              <w:t>废气、废水、噪声进行了监测。</w:t>
            </w:r>
            <w:r>
              <w:rPr>
                <w:rFonts w:hint="eastAsia" w:ascii="宋体" w:hAnsi="宋体" w:eastAsia="宋体" w:cs="宋体"/>
                <w:color w:val="000000" w:themeColor="text1"/>
                <w:sz w:val="21"/>
                <w:szCs w:val="21"/>
              </w:rPr>
              <w:t>对公司总排水口水质监测结果符合污水综合排放标准GB8978-1996三级标准限值要求；对公司厂界颗粒物废气监测结果符合大气污染物综合排放标准GB16297-1996表2无组织排放限值要求；对公司厂界噪声监测结果符合工业企业厂界噪声环境排放标准GB12348-2008中</w:t>
            </w:r>
            <w:r>
              <w:rPr>
                <w:rFonts w:hint="eastAsia" w:ascii="宋体" w:hAnsi="宋体" w:cs="宋体"/>
                <w:color w:val="000000" w:themeColor="text1"/>
                <w:sz w:val="21"/>
                <w:szCs w:val="21"/>
                <w:lang w:val="en-US" w:eastAsia="zh-CN"/>
              </w:rPr>
              <w:t>2</w:t>
            </w:r>
            <w:r>
              <w:rPr>
                <w:rFonts w:hint="eastAsia" w:ascii="宋体" w:hAnsi="宋体" w:eastAsia="宋体" w:cs="宋体"/>
                <w:color w:val="000000" w:themeColor="text1"/>
                <w:sz w:val="21"/>
                <w:szCs w:val="21"/>
              </w:rPr>
              <w:t>类区标准限值要求。</w:t>
            </w:r>
          </w:p>
          <w:p>
            <w:pPr>
              <w:widowControl/>
              <w:spacing w:line="360" w:lineRule="auto"/>
              <w:ind w:left="480" w:leftChars="0"/>
              <w:jc w:val="left"/>
              <w:rPr>
                <w:rFonts w:hint="eastAsia" w:ascii="宋体" w:hAnsi="宋体" w:eastAsia="宋体" w:cs="宋体"/>
                <w:kern w:val="2"/>
                <w:sz w:val="21"/>
                <w:szCs w:val="21"/>
                <w:lang w:val="en-US" w:eastAsia="zh-CN" w:bidi="ar-SA"/>
              </w:rPr>
            </w:pPr>
            <w:r>
              <w:rPr>
                <w:rFonts w:hint="eastAsia" w:ascii="宋体" w:hAnsi="宋体" w:eastAsia="宋体" w:cs="宋体"/>
                <w:color w:val="000000" w:themeColor="text1"/>
                <w:sz w:val="21"/>
                <w:szCs w:val="21"/>
              </w:rPr>
              <w:t>经交流公司无用于环境监测的设备。</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rPr>
              <w:t>合规性评价</w:t>
            </w:r>
          </w:p>
        </w:tc>
        <w:tc>
          <w:tcPr>
            <w:tcW w:w="960" w:type="dxa"/>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rPr>
              <w:t>9.1.2</w:t>
            </w:r>
          </w:p>
        </w:tc>
        <w:tc>
          <w:tcPr>
            <w:tcW w:w="10004" w:type="dxa"/>
            <w:vAlign w:val="center"/>
          </w:tcPr>
          <w:p>
            <w:pPr>
              <w:spacing w:line="360" w:lineRule="auto"/>
              <w:rPr>
                <w:rFonts w:hint="eastAsia" w:ascii="宋体" w:hAnsi="宋体" w:eastAsia="宋体" w:cs="Times New Roman"/>
                <w:szCs w:val="21"/>
              </w:rPr>
            </w:pPr>
            <w:r>
              <w:rPr>
                <w:rFonts w:hint="eastAsia" w:ascii="宋体" w:hAnsi="宋体" w:eastAsia="宋体" w:cs="Times New Roman"/>
                <w:szCs w:val="21"/>
              </w:rPr>
              <w:t>现场提供了“环境合规性评价表”,对公司的清洗地面、生活废水、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rPr>
              <w:t>评价人：</w:t>
            </w:r>
            <w:r>
              <w:rPr>
                <w:rFonts w:hint="eastAsia" w:ascii="宋体" w:hAnsi="宋体" w:cs="Times New Roman"/>
                <w:szCs w:val="21"/>
                <w:lang w:eastAsia="zh-CN"/>
              </w:rPr>
              <w:t>魏春鸽</w:t>
            </w:r>
            <w:r>
              <w:rPr>
                <w:rFonts w:hint="eastAsia" w:ascii="宋体" w:hAnsi="宋体" w:eastAsia="宋体" w:cs="Times New Roman"/>
                <w:szCs w:val="21"/>
              </w:rPr>
              <w:t>、顾小明、吴刚，批准：吴承灿，日期：20</w:t>
            </w:r>
            <w:r>
              <w:rPr>
                <w:rFonts w:hint="eastAsia" w:ascii="宋体" w:hAnsi="宋体" w:eastAsia="宋体" w:cs="Times New Roman"/>
                <w:szCs w:val="21"/>
                <w:lang w:val="en-US" w:eastAsia="zh-CN"/>
              </w:rPr>
              <w:t>2</w:t>
            </w:r>
            <w:r>
              <w:rPr>
                <w:rFonts w:hint="eastAsia" w:ascii="宋体" w:hAnsi="宋体" w:cs="Times New Roman"/>
                <w:szCs w:val="21"/>
                <w:lang w:val="en-US" w:eastAsia="zh-CN"/>
              </w:rPr>
              <w:t>2</w:t>
            </w:r>
            <w:r>
              <w:rPr>
                <w:rFonts w:hint="eastAsia" w:ascii="宋体" w:hAnsi="宋体" w:eastAsia="宋体" w:cs="Times New Roman"/>
                <w:szCs w:val="21"/>
              </w:rPr>
              <w:t>年</w:t>
            </w:r>
            <w:r>
              <w:rPr>
                <w:rFonts w:hint="eastAsia" w:ascii="宋体" w:hAnsi="宋体" w:cs="Times New Roman"/>
                <w:szCs w:val="21"/>
                <w:lang w:val="en-US" w:eastAsia="zh-CN"/>
              </w:rPr>
              <w:t>5</w:t>
            </w:r>
            <w:r>
              <w:rPr>
                <w:rFonts w:hint="eastAsia" w:ascii="宋体" w:hAnsi="宋体" w:eastAsia="宋体" w:cs="Times New Roman"/>
                <w:szCs w:val="21"/>
              </w:rPr>
              <w:t>月</w:t>
            </w:r>
            <w:r>
              <w:rPr>
                <w:rFonts w:hint="eastAsia" w:ascii="宋体" w:hAnsi="宋体" w:cs="Times New Roman"/>
                <w:szCs w:val="21"/>
                <w:lang w:val="en-US" w:eastAsia="zh-CN"/>
              </w:rPr>
              <w:t>10</w:t>
            </w:r>
            <w:r>
              <w:rPr>
                <w:rFonts w:hint="eastAsia" w:ascii="宋体" w:hAnsi="宋体" w:eastAsia="宋体" w:cs="Times New Roman"/>
                <w:szCs w:val="21"/>
              </w:rPr>
              <w:t>日。</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szCs w:val="22"/>
              </w:rPr>
            </w:pPr>
          </w:p>
          <w:p>
            <w:pPr>
              <w:rPr>
                <w:szCs w:val="22"/>
              </w:rPr>
            </w:pPr>
          </w:p>
          <w:p>
            <w:pPr>
              <w:rPr>
                <w:szCs w:val="22"/>
              </w:rPr>
            </w:pPr>
          </w:p>
          <w:p>
            <w:pPr>
              <w:rPr>
                <w:szCs w:val="22"/>
              </w:rPr>
            </w:pPr>
          </w:p>
          <w:p>
            <w:pPr>
              <w:rPr>
                <w:szCs w:val="22"/>
              </w:rPr>
            </w:pPr>
          </w:p>
          <w:p>
            <w:pPr>
              <w:rPr>
                <w:szCs w:val="22"/>
              </w:rPr>
            </w:pPr>
          </w:p>
          <w:p>
            <w:pPr>
              <w:rPr>
                <w:szCs w:val="22"/>
              </w:rPr>
            </w:pPr>
            <w:r>
              <w:rPr>
                <w:rFonts w:hint="eastAsia"/>
                <w:szCs w:val="22"/>
              </w:rPr>
              <w:t>内部审核</w:t>
            </w:r>
          </w:p>
        </w:tc>
        <w:tc>
          <w:tcPr>
            <w:tcW w:w="960" w:type="dxa"/>
          </w:tcPr>
          <w:p>
            <w:pPr>
              <w:rPr>
                <w:szCs w:val="22"/>
              </w:rPr>
            </w:pPr>
          </w:p>
          <w:p>
            <w:pPr>
              <w:rPr>
                <w:szCs w:val="22"/>
              </w:rPr>
            </w:pPr>
          </w:p>
          <w:p>
            <w:pPr>
              <w:rPr>
                <w:szCs w:val="22"/>
              </w:rPr>
            </w:pPr>
          </w:p>
          <w:p>
            <w:pPr>
              <w:rPr>
                <w:szCs w:val="22"/>
              </w:rPr>
            </w:pPr>
          </w:p>
          <w:p>
            <w:pPr>
              <w:rPr>
                <w:szCs w:val="22"/>
              </w:rPr>
            </w:pPr>
          </w:p>
          <w:p>
            <w:pPr>
              <w:rPr>
                <w:szCs w:val="22"/>
              </w:rPr>
            </w:pPr>
          </w:p>
          <w:p>
            <w:r>
              <w:rPr>
                <w:rFonts w:hint="eastAsia"/>
                <w:szCs w:val="22"/>
              </w:rPr>
              <w:t xml:space="preserve">9.2 </w:t>
            </w:r>
          </w:p>
        </w:tc>
        <w:tc>
          <w:tcPr>
            <w:tcW w:w="10004" w:type="dxa"/>
          </w:tcPr>
          <w:p>
            <w:pPr>
              <w:spacing w:line="360" w:lineRule="auto"/>
              <w:rPr>
                <w:rFonts w:hint="eastAsia" w:ascii="宋体" w:hAnsi="宋体"/>
                <w:szCs w:val="21"/>
              </w:rPr>
            </w:pPr>
            <w:r>
              <w:rPr>
                <w:rFonts w:hint="eastAsia" w:ascii="宋体" w:hAnsi="宋体"/>
                <w:szCs w:val="21"/>
              </w:rPr>
              <w:t>由组长</w:t>
            </w:r>
            <w:r>
              <w:rPr>
                <w:rFonts w:hint="eastAsia" w:ascii="宋体" w:hAnsi="宋体"/>
                <w:szCs w:val="21"/>
                <w:lang w:eastAsia="zh-CN"/>
              </w:rPr>
              <w:t>魏春鸽</w:t>
            </w:r>
            <w:r>
              <w:rPr>
                <w:rFonts w:hint="eastAsia" w:ascii="宋体" w:hAnsi="宋体"/>
                <w:szCs w:val="21"/>
              </w:rPr>
              <w:t>组织内部审核，查年度审核计划：提供《内部审核计划》，其内容已包括了审核目的、范围、依据、计划编制日期20</w:t>
            </w:r>
            <w:r>
              <w:rPr>
                <w:rFonts w:hint="eastAsia" w:ascii="宋体" w:hAnsi="宋体"/>
                <w:szCs w:val="21"/>
                <w:lang w:val="en-US" w:eastAsia="zh-CN"/>
              </w:rPr>
              <w:t>22.05.15</w:t>
            </w:r>
            <w:r>
              <w:rPr>
                <w:rFonts w:hint="eastAsia" w:ascii="宋体" w:hAnsi="宋体"/>
                <w:szCs w:val="21"/>
              </w:rPr>
              <w:t>，编制：</w:t>
            </w:r>
            <w:r>
              <w:rPr>
                <w:rFonts w:hint="eastAsia" w:ascii="宋体" w:hAnsi="宋体"/>
                <w:szCs w:val="21"/>
                <w:lang w:eastAsia="zh-CN"/>
              </w:rPr>
              <w:t>魏春鸽</w:t>
            </w: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rPr>
              <w:t>审核组构成：组长</w:t>
            </w:r>
            <w:r>
              <w:rPr>
                <w:rFonts w:hint="eastAsia" w:ascii="宋体" w:hAnsi="宋体"/>
                <w:szCs w:val="21"/>
                <w:lang w:eastAsia="zh-CN"/>
              </w:rPr>
              <w:t>魏春鸽</w:t>
            </w:r>
            <w:r>
              <w:rPr>
                <w:rFonts w:hint="eastAsia" w:ascii="宋体" w:hAnsi="宋体"/>
                <w:szCs w:val="21"/>
              </w:rPr>
              <w:t>、组员高海娟。</w:t>
            </w:r>
          </w:p>
          <w:p>
            <w:pPr>
              <w:spacing w:line="360" w:lineRule="auto"/>
              <w:rPr>
                <w:rFonts w:hint="eastAsia" w:ascii="宋体" w:hAnsi="宋体"/>
                <w:szCs w:val="21"/>
              </w:rPr>
            </w:pPr>
            <w:r>
              <w:rPr>
                <w:rFonts w:hint="eastAsia" w:ascii="宋体" w:hAnsi="宋体"/>
                <w:szCs w:val="21"/>
              </w:rPr>
              <w:t>1. 审核时间20</w:t>
            </w:r>
            <w:r>
              <w:rPr>
                <w:rFonts w:hint="eastAsia" w:ascii="宋体" w:hAnsi="宋体"/>
                <w:szCs w:val="21"/>
                <w:lang w:val="en-US" w:eastAsia="zh-CN"/>
              </w:rPr>
              <w:t>22.05.27-28</w:t>
            </w:r>
            <w:r>
              <w:rPr>
                <w:rFonts w:hint="eastAsia" w:ascii="宋体" w:hAnsi="宋体"/>
                <w:szCs w:val="21"/>
              </w:rPr>
              <w:t>，共2天。</w:t>
            </w:r>
          </w:p>
          <w:p>
            <w:pPr>
              <w:spacing w:line="360" w:lineRule="auto"/>
              <w:rPr>
                <w:rFonts w:ascii="宋体" w:hAnsi="宋体"/>
                <w:szCs w:val="21"/>
              </w:rPr>
            </w:pPr>
            <w:r>
              <w:rPr>
                <w:rFonts w:hint="eastAsia" w:ascii="宋体" w:hAnsi="宋体"/>
                <w:szCs w:val="21"/>
              </w:rPr>
              <w:t>2.审核按计划进行，抽查检查表</w:t>
            </w:r>
            <w:r>
              <w:rPr>
                <w:rFonts w:hint="eastAsia" w:ascii="宋体" w:hAnsi="宋体"/>
                <w:szCs w:val="21"/>
                <w:lang w:val="en-US" w:eastAsia="zh-CN"/>
              </w:rPr>
              <w:t>生产部</w:t>
            </w:r>
            <w:r>
              <w:rPr>
                <w:rFonts w:hint="eastAsia" w:ascii="宋体" w:hAnsi="宋体"/>
                <w:szCs w:val="21"/>
              </w:rPr>
              <w:t>、</w:t>
            </w:r>
            <w:r>
              <w:rPr>
                <w:rFonts w:hint="eastAsia" w:ascii="宋体" w:hAnsi="宋体"/>
                <w:szCs w:val="21"/>
                <w:lang w:val="en-US" w:eastAsia="zh-CN"/>
              </w:rPr>
              <w:t>管理层</w:t>
            </w:r>
            <w:r>
              <w:rPr>
                <w:rFonts w:hint="eastAsia" w:ascii="宋体" w:hAnsi="宋体"/>
                <w:szCs w:val="21"/>
              </w:rPr>
              <w:t>审核记录与计划相一致，2名内审员经内部培训合格，能力还需加强；</w:t>
            </w:r>
          </w:p>
          <w:p>
            <w:pPr>
              <w:spacing w:line="360" w:lineRule="auto"/>
              <w:rPr>
                <w:rFonts w:ascii="宋体" w:hAnsi="宋体"/>
                <w:szCs w:val="21"/>
              </w:rPr>
            </w:pPr>
            <w:r>
              <w:rPr>
                <w:rFonts w:hint="eastAsia" w:ascii="宋体" w:hAnsi="宋体"/>
                <w:szCs w:val="21"/>
              </w:rPr>
              <w:t>审核计划已考虑到互查的公正性，无审核员审核本部门的工作，计划内容涉及各部门，条款覆盖整个体系。本次内审发现</w:t>
            </w:r>
            <w:r>
              <w:rPr>
                <w:rFonts w:hint="eastAsia" w:ascii="宋体" w:hAnsi="宋体"/>
                <w:szCs w:val="21"/>
                <w:lang w:val="en-US" w:eastAsia="zh-CN"/>
              </w:rPr>
              <w:t>1</w:t>
            </w:r>
            <w:r>
              <w:rPr>
                <w:rFonts w:hint="eastAsia" w:ascii="宋体" w:hAnsi="宋体"/>
                <w:szCs w:val="21"/>
              </w:rPr>
              <w:t>个一般不符合项，针对这</w:t>
            </w:r>
            <w:r>
              <w:rPr>
                <w:rFonts w:hint="eastAsia" w:ascii="宋体" w:hAnsi="宋体"/>
                <w:szCs w:val="21"/>
                <w:lang w:val="en-US" w:eastAsia="zh-CN"/>
              </w:rPr>
              <w:t>1</w:t>
            </w:r>
            <w:r>
              <w:rPr>
                <w:rFonts w:hint="eastAsia" w:ascii="宋体" w:hAnsi="宋体"/>
                <w:szCs w:val="21"/>
              </w:rPr>
              <w:t>个不合格，综合部已分析了原因并采取了纠正措施，按要求进行了整改，最后内审员进行了验证，纠正措施实施有效。</w:t>
            </w:r>
          </w:p>
          <w:p>
            <w:pPr>
              <w:spacing w:line="360" w:lineRule="auto"/>
            </w:pPr>
            <w:r>
              <w:rPr>
                <w:rFonts w:hint="eastAsia" w:ascii="宋体" w:hAnsi="宋体"/>
                <w:szCs w:val="21"/>
              </w:rPr>
              <w:t>内部审核结论：提供了《内部审核报告》，对现场审核进行了综述，对环境管理体系进行了符合性的综合评价，最后结论为：公司的环境管理体系基本符合标准要求，运行有效。</w:t>
            </w:r>
          </w:p>
        </w:tc>
        <w:tc>
          <w:tcPr>
            <w:tcW w:w="1585" w:type="dxa"/>
          </w:tcPr>
          <w:p>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tcPr>
          <w:p>
            <w:pPr>
              <w:rPr>
                <w:szCs w:val="22"/>
              </w:rPr>
            </w:pPr>
            <w:r>
              <w:rPr>
                <w:rFonts w:hint="eastAsia"/>
                <w:szCs w:val="22"/>
              </w:rPr>
              <w:t>不合格和纠正措施</w:t>
            </w:r>
          </w:p>
        </w:tc>
        <w:tc>
          <w:tcPr>
            <w:tcW w:w="960" w:type="dxa"/>
          </w:tcPr>
          <w:p>
            <w:pPr>
              <w:rPr>
                <w:szCs w:val="22"/>
              </w:rPr>
            </w:pPr>
            <w:r>
              <w:rPr>
                <w:rFonts w:hint="eastAsia"/>
                <w:szCs w:val="22"/>
              </w:rPr>
              <w:t>10.2</w:t>
            </w:r>
          </w:p>
        </w:tc>
        <w:tc>
          <w:tcPr>
            <w:tcW w:w="10004" w:type="dxa"/>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综合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r>
              <w:rPr>
                <w:rFonts w:hint="eastAsia" w:ascii="宋体" w:hAnsi="宋体" w:cs="宋体"/>
                <w:sz w:val="21"/>
                <w:szCs w:val="21"/>
                <w:lang w:val="en-US" w:eastAsia="zh-CN"/>
              </w:rPr>
              <w:t>Y</w:t>
            </w:r>
          </w:p>
        </w:tc>
      </w:tr>
    </w:tbl>
    <w:p>
      <w:r>
        <w:ptab w:relativeTo="margin" w:alignment="center" w:leader="none"/>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9973B4"/>
    <w:rsid w:val="000237F6"/>
    <w:rsid w:val="0003373A"/>
    <w:rsid w:val="000400E2"/>
    <w:rsid w:val="00062E46"/>
    <w:rsid w:val="00115B23"/>
    <w:rsid w:val="001A2D7F"/>
    <w:rsid w:val="002939AD"/>
    <w:rsid w:val="00337922"/>
    <w:rsid w:val="00340867"/>
    <w:rsid w:val="00380837"/>
    <w:rsid w:val="003A198A"/>
    <w:rsid w:val="003D1342"/>
    <w:rsid w:val="00410914"/>
    <w:rsid w:val="00536930"/>
    <w:rsid w:val="00564E53"/>
    <w:rsid w:val="005D5659"/>
    <w:rsid w:val="00600C20"/>
    <w:rsid w:val="00644FE2"/>
    <w:rsid w:val="0067640C"/>
    <w:rsid w:val="006E678B"/>
    <w:rsid w:val="007757F3"/>
    <w:rsid w:val="007E6AEB"/>
    <w:rsid w:val="008973EE"/>
    <w:rsid w:val="00971600"/>
    <w:rsid w:val="009973B4"/>
    <w:rsid w:val="009C28C1"/>
    <w:rsid w:val="009F7EED"/>
    <w:rsid w:val="00A80636"/>
    <w:rsid w:val="00AF0AAB"/>
    <w:rsid w:val="00BF597E"/>
    <w:rsid w:val="00C51A36"/>
    <w:rsid w:val="00C55228"/>
    <w:rsid w:val="00CE315A"/>
    <w:rsid w:val="00D06F59"/>
    <w:rsid w:val="00D8388C"/>
    <w:rsid w:val="00E407A5"/>
    <w:rsid w:val="00E6224C"/>
    <w:rsid w:val="00EB0164"/>
    <w:rsid w:val="00ED0F62"/>
    <w:rsid w:val="0FD070D8"/>
    <w:rsid w:val="108219C2"/>
    <w:rsid w:val="11C85183"/>
    <w:rsid w:val="13C37938"/>
    <w:rsid w:val="1F1B6497"/>
    <w:rsid w:val="25C61E84"/>
    <w:rsid w:val="261D4DB3"/>
    <w:rsid w:val="283E5FAE"/>
    <w:rsid w:val="2C0A469E"/>
    <w:rsid w:val="32124434"/>
    <w:rsid w:val="34E54193"/>
    <w:rsid w:val="3C0E5144"/>
    <w:rsid w:val="407951D3"/>
    <w:rsid w:val="447D0C88"/>
    <w:rsid w:val="4BD50E07"/>
    <w:rsid w:val="4BEB3BEE"/>
    <w:rsid w:val="5AAF6A77"/>
    <w:rsid w:val="5EA12B9A"/>
    <w:rsid w:val="60074F20"/>
    <w:rsid w:val="64293CC7"/>
    <w:rsid w:val="69271D2D"/>
    <w:rsid w:val="6A1F2EAC"/>
    <w:rsid w:val="729B1A94"/>
    <w:rsid w:val="7431093A"/>
    <w:rsid w:val="76826A93"/>
    <w:rsid w:val="76EF13FD"/>
    <w:rsid w:val="7B307D45"/>
    <w:rsid w:val="7B335210"/>
    <w:rsid w:val="7E206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Words>
  <Characters>2224</Characters>
  <Lines>18</Lines>
  <Paragraphs>5</Paragraphs>
  <TotalTime>1</TotalTime>
  <ScaleCrop>false</ScaleCrop>
  <LinksUpToDate>false</LinksUpToDate>
  <CharactersWithSpaces>2609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2022-08-01T02:58:38Z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D27F348DFB974992BF662948F1501054</vt:lpwstr>
  </property>
</Properties>
</file>