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D974D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D974D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D974D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D974D8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F64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932927">
              <w:rPr>
                <w:rFonts w:hint="eastAsia"/>
                <w:szCs w:val="21"/>
              </w:rPr>
              <w:t>山东海声音科教仪器有限公司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陪同人员：</w:t>
            </w:r>
            <w:bookmarkStart w:id="1" w:name="管理者代表"/>
            <w:r w:rsidR="00932927">
              <w:rPr>
                <w:rFonts w:hint="eastAsia"/>
                <w:szCs w:val="21"/>
              </w:rPr>
              <w:t>贾园园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D974D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32927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冷春宇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2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</w:t>
            </w:r>
            <w:r w:rsidR="00932927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932927"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9E67C3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="00932927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932927"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至202</w:t>
            </w:r>
            <w:r w:rsidR="00932927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932927"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9E67C3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="00932927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bookmarkEnd w:id="2"/>
            <w:r w:rsidR="00932927"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0C70B0" w:rsidRPr="000C70B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91371726321844087M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0C70B0" w:rsidRPr="000C70B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2015.1.6日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至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长期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 w:rsidP="00D974D8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027CC7" w:rsidRPr="00027CC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一般项目:教学用模型及教具制造;教学专用仪器销售;音响设备制造;音响设备销售;乐器制造;乐器零售;乐器零配件销售;实验分析仪器制造;实验分析仪器销售;智能仪器仪表制造;智能仪器仪表销售;仪器仪表制造;仪器仪表销售;家具制造;家具销售;个人卫生用品销售;针纺织品销售;针纺织品及原料销售;日用百货销售;劳动保护用品销售;教学用模型及教具销售;文具用品批发﹔文具用品零售;玩具销售;办公用品销售;服装服饰批发;服装服饰零售;</w:t>
            </w:r>
            <w:proofErr w:type="gramStart"/>
            <w:r w:rsidR="00027CC7" w:rsidRPr="00027CC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厨具卫具及</w:t>
            </w:r>
            <w:proofErr w:type="gramEnd"/>
            <w:r w:rsidR="00027CC7" w:rsidRPr="00027CC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日用杂品批发;</w:t>
            </w:r>
            <w:proofErr w:type="gramStart"/>
            <w:r w:rsidR="00027CC7" w:rsidRPr="00027CC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厨具卫具及</w:t>
            </w:r>
            <w:proofErr w:type="gramEnd"/>
            <w:r w:rsidR="00027CC7" w:rsidRPr="00027CC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用杂品零售;搪瓷制品销售;日用木制品销售;日用品销售;玻璃仪器销售;橡胶制品销售;计算机软硬件及辅助设备零售;体育用品及器材制造;体育用品及器材零售;木材加工;木材收购;木材销售;软件开发;网络设备销售;网络与信息安全软件开发;智能控制系统集成;信息系统集成服务。(除依法须经批准的项目外，凭营业执照依法自</w:t>
            </w:r>
            <w:r w:rsidR="00027CC7" w:rsidRPr="00027CC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lastRenderedPageBreak/>
              <w:t>主开展经营活动)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427969" w:rsidRDefault="00E6766F" w:rsidP="00427969"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bookmarkStart w:id="3" w:name="审核范围"/>
            <w:r w:rsidR="00027CC7">
              <w:rPr>
                <w:rFonts w:hint="eastAsia"/>
                <w:sz w:val="20"/>
              </w:rPr>
              <w:t>教学专用仪器、音响设备、实验分析仪器、仪器仪表、家具、办公用品、劳动保护用品、玩具、服装服饰、日用木制品、玻璃仪器、网络设备的销售，乐器、体育用品、厨具、计算机软硬件及辅助设备的零售</w:t>
            </w:r>
            <w:r w:rsidR="00027CC7">
              <w:rPr>
                <w:rFonts w:hint="eastAsia"/>
                <w:sz w:val="20"/>
              </w:rPr>
              <w:t>及相关场所的环境和职业健康安全管理活动。</w:t>
            </w:r>
          </w:p>
          <w:bookmarkEnd w:id="3"/>
          <w:p w:rsidR="00C341DE" w:rsidRPr="00D974D8" w:rsidRDefault="00C341DE" w:rsidP="00427969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027CC7">
              <w:rPr>
                <w:rFonts w:asciiTheme="minorEastAsia" w:eastAsiaTheme="minorEastAsia" w:hAnsiTheme="minorEastAsia"/>
                <w:sz w:val="20"/>
                <w:u w:val="single"/>
              </w:rPr>
              <w:t xml:space="preserve"> </w:t>
            </w:r>
            <w:r w:rsidR="00027CC7" w:rsidRPr="00027CC7">
              <w:rPr>
                <w:rFonts w:asciiTheme="minorEastAsia" w:eastAsiaTheme="minorEastAsia" w:hAnsiTheme="minorEastAsia" w:hint="eastAsia"/>
                <w:sz w:val="20"/>
                <w:u w:val="single"/>
              </w:rPr>
              <w:t>山东省菏泽市鄄城县</w:t>
            </w:r>
            <w:proofErr w:type="gramStart"/>
            <w:r w:rsidR="00027CC7" w:rsidRPr="00027CC7">
              <w:rPr>
                <w:rFonts w:asciiTheme="minorEastAsia" w:eastAsiaTheme="minorEastAsia" w:hAnsiTheme="minorEastAsia" w:hint="eastAsia"/>
                <w:sz w:val="20"/>
                <w:u w:val="single"/>
              </w:rPr>
              <w:t>鄄</w:t>
            </w:r>
            <w:proofErr w:type="gramEnd"/>
            <w:r w:rsidR="00027CC7" w:rsidRPr="00027CC7">
              <w:rPr>
                <w:rFonts w:asciiTheme="minorEastAsia" w:eastAsiaTheme="minorEastAsia" w:hAnsiTheme="minorEastAsia" w:hint="eastAsia"/>
                <w:sz w:val="20"/>
                <w:u w:val="single"/>
              </w:rPr>
              <w:t>十五路与经济街</w:t>
            </w:r>
            <w:proofErr w:type="gramStart"/>
            <w:r w:rsidR="00027CC7" w:rsidRPr="00027CC7">
              <w:rPr>
                <w:rFonts w:asciiTheme="minorEastAsia" w:eastAsiaTheme="minorEastAsia" w:hAnsiTheme="minorEastAsia" w:hint="eastAsia"/>
                <w:sz w:val="20"/>
                <w:u w:val="single"/>
              </w:rPr>
              <w:t>交叉路口北</w:t>
            </w:r>
            <w:proofErr w:type="gramEnd"/>
            <w:r w:rsidR="00027CC7" w:rsidRPr="00027CC7">
              <w:rPr>
                <w:rFonts w:asciiTheme="minorEastAsia" w:eastAsiaTheme="minorEastAsia" w:hAnsiTheme="minorEastAsia" w:hint="eastAsia"/>
                <w:sz w:val="20"/>
                <w:u w:val="single"/>
              </w:rPr>
              <w:t>100米路西(凤凰开发区)</w:t>
            </w:r>
            <w:r w:rsidRPr="00027CC7">
              <w:rPr>
                <w:rFonts w:asciiTheme="minorEastAsia" w:eastAsiaTheme="minorEastAsia" w:hAnsiTheme="minorEastAsia"/>
                <w:sz w:val="20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D974D8" w:rsidRPr="00027CC7" w:rsidRDefault="00E6766F" w:rsidP="00D974D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bookmarkStart w:id="4" w:name="生产地址"/>
            <w:r w:rsidR="00027CC7" w:rsidRPr="00027CC7">
              <w:rPr>
                <w:rFonts w:asciiTheme="minorEastAsia" w:eastAsiaTheme="minorEastAsia" w:hAnsiTheme="minorEastAsia"/>
                <w:sz w:val="20"/>
                <w:u w:val="single"/>
              </w:rPr>
              <w:t>山东省菏泽市鄄城县</w:t>
            </w:r>
            <w:proofErr w:type="gramStart"/>
            <w:r w:rsidR="00027CC7" w:rsidRPr="00027CC7">
              <w:rPr>
                <w:rFonts w:asciiTheme="minorEastAsia" w:eastAsiaTheme="minorEastAsia" w:hAnsiTheme="minorEastAsia"/>
                <w:sz w:val="20"/>
                <w:u w:val="single"/>
              </w:rPr>
              <w:t>鄄</w:t>
            </w:r>
            <w:proofErr w:type="gramEnd"/>
            <w:r w:rsidR="00027CC7" w:rsidRPr="00027CC7">
              <w:rPr>
                <w:rFonts w:asciiTheme="minorEastAsia" w:eastAsiaTheme="minorEastAsia" w:hAnsiTheme="minorEastAsia"/>
                <w:sz w:val="20"/>
                <w:u w:val="single"/>
              </w:rPr>
              <w:t>十五路与经济街</w:t>
            </w:r>
            <w:proofErr w:type="gramStart"/>
            <w:r w:rsidR="00027CC7" w:rsidRPr="00027CC7">
              <w:rPr>
                <w:rFonts w:asciiTheme="minorEastAsia" w:eastAsiaTheme="minorEastAsia" w:hAnsiTheme="minorEastAsia"/>
                <w:sz w:val="20"/>
                <w:u w:val="single"/>
              </w:rPr>
              <w:t>交叉路口北</w:t>
            </w:r>
            <w:proofErr w:type="gramEnd"/>
            <w:r w:rsidR="00027CC7" w:rsidRPr="00027CC7">
              <w:rPr>
                <w:rFonts w:asciiTheme="minorEastAsia" w:eastAsiaTheme="minorEastAsia" w:hAnsiTheme="minorEastAsia"/>
                <w:sz w:val="20"/>
                <w:u w:val="single"/>
              </w:rPr>
              <w:t>100米路西(凤凰开发区)</w:t>
            </w:r>
            <w:bookmarkEnd w:id="4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lastRenderedPageBreak/>
              <w:t xml:space="preserve">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</w:rPr>
              <w:lastRenderedPageBreak/>
              <w:t>对</w:t>
            </w:r>
            <w:r w:rsidRPr="00D974D8">
              <w:rPr>
                <w:rFonts w:asciiTheme="minorEastAsia" w:eastAsiaTheme="minorEastAsia" w:hAnsiTheme="minorEastAsia"/>
              </w:rPr>
              <w:t>多场所</w:t>
            </w:r>
            <w:r w:rsidRPr="00D974D8">
              <w:rPr>
                <w:rFonts w:asciiTheme="minorEastAsia" w:eastAsiaTheme="minorEastAsia" w:hAnsiTheme="minorEastAsia" w:hint="eastAsia"/>
              </w:rPr>
              <w:t>/临时场所</w:t>
            </w:r>
            <w:r w:rsidRPr="00D974D8">
              <w:rPr>
                <w:rFonts w:asciiTheme="minorEastAsia" w:eastAsiaTheme="minorEastAsia" w:hAnsiTheme="minorEastAsia"/>
              </w:rPr>
              <w:t>建立的控制水平（</w:t>
            </w:r>
            <w:r w:rsidRPr="00D974D8">
              <w:rPr>
                <w:rFonts w:asciiTheme="minorEastAsia" w:eastAsiaTheme="minorEastAsia" w:hAnsiTheme="minorEastAsia" w:hint="eastAsia"/>
              </w:rPr>
              <w:t>适用</w:t>
            </w:r>
            <w:r w:rsidRPr="00D974D8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D974D8">
              <w:rPr>
                <w:rFonts w:asciiTheme="minorEastAsia" w:eastAsiaTheme="minorEastAsia" w:hAnsiTheme="minorEastAsia"/>
              </w:rPr>
              <w:t>多场所</w:t>
            </w:r>
            <w:r w:rsidR="00E6766F" w:rsidRPr="00D974D8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D974D8" w:rsidRDefault="00830BA7" w:rsidP="00830BA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产品销售流程：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业务洽谈/招投标→评审→签订合同→采购→验证→交付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027CC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 w:rsidP="00027CC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027CC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027CC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027CC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D974D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生产/服务的班次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027CC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027CC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027CC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027CC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D974D8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D974D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C341DE" w:rsidRPr="00D974D8" w:rsidRDefault="004A610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7969" w:rsidRPr="00427969" w:rsidRDefault="00E6766F" w:rsidP="00427969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427969" w:rsidRPr="0042796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质量至上、持续创新、诚实守信、顾客至上 </w:t>
            </w:r>
          </w:p>
          <w:p w:rsidR="00C341DE" w:rsidRPr="00D974D8" w:rsidRDefault="00427969" w:rsidP="00427969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42796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预防为主，降低风险；遵章守法，创造和谐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。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D974D8">
              <w:tc>
                <w:tcPr>
                  <w:tcW w:w="2443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427969" w:rsidRPr="00D974D8" w:rsidTr="00380EC3">
              <w:tc>
                <w:tcPr>
                  <w:tcW w:w="2443" w:type="dxa"/>
                </w:tcPr>
                <w:p w:rsidR="00427969" w:rsidRDefault="00427969" w:rsidP="00D46686">
                  <w:pPr>
                    <w:spacing w:after="0"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lastRenderedPageBreak/>
                    <w:t>产品交付合格率100%</w:t>
                  </w:r>
                </w:p>
              </w:tc>
              <w:tc>
                <w:tcPr>
                  <w:tcW w:w="1387" w:type="dxa"/>
                </w:tcPr>
                <w:p w:rsidR="00427969" w:rsidRDefault="00427969" w:rsidP="00D46686">
                  <w:pPr>
                    <w:spacing w:after="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:rsidR="00427969" w:rsidRDefault="00427969" w:rsidP="00D301AF">
                  <w:pPr>
                    <w:spacing w:after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合格数÷总数×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 w:rsidR="00427969" w:rsidRPr="00D974D8" w:rsidRDefault="00427969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  <w:r w:rsidR="00F46A7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%</w:t>
                  </w:r>
                </w:p>
              </w:tc>
            </w:tr>
            <w:tr w:rsidR="00427969" w:rsidRPr="00D974D8" w:rsidTr="00380EC3">
              <w:tc>
                <w:tcPr>
                  <w:tcW w:w="2443" w:type="dxa"/>
                </w:tcPr>
                <w:p w:rsidR="00427969" w:rsidRDefault="00427969" w:rsidP="00D46686">
                  <w:pPr>
                    <w:spacing w:after="0"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顾客满意度9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5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分以上</w:t>
                  </w:r>
                </w:p>
              </w:tc>
              <w:tc>
                <w:tcPr>
                  <w:tcW w:w="1387" w:type="dxa"/>
                </w:tcPr>
                <w:p w:rsidR="00427969" w:rsidRDefault="00427969" w:rsidP="00D46686">
                  <w:pPr>
                    <w:spacing w:after="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:rsidR="00427969" w:rsidRDefault="00427969" w:rsidP="00D301AF">
                  <w:pPr>
                    <w:spacing w:after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评定数÷总数×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 w:rsidR="00427969" w:rsidRPr="00D974D8" w:rsidRDefault="00427969" w:rsidP="00427969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</w:tr>
            <w:tr w:rsidR="00427969" w:rsidRPr="00D974D8" w:rsidTr="00380EC3">
              <w:tc>
                <w:tcPr>
                  <w:tcW w:w="2443" w:type="dxa"/>
                </w:tcPr>
                <w:p w:rsidR="00427969" w:rsidRDefault="00427969" w:rsidP="00D46686">
                  <w:pPr>
                    <w:spacing w:line="400" w:lineRule="exact"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火灾事故为0；重大安全事故为0；</w:t>
                  </w:r>
                </w:p>
              </w:tc>
              <w:tc>
                <w:tcPr>
                  <w:tcW w:w="1387" w:type="dxa"/>
                </w:tcPr>
                <w:p w:rsidR="00427969" w:rsidRDefault="00427969" w:rsidP="00D46686">
                  <w:pPr>
                    <w:spacing w:after="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:rsidR="00427969" w:rsidRDefault="00427969" w:rsidP="00D301AF">
                  <w:pPr>
                    <w:spacing w:after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查看事故记录</w:t>
                  </w:r>
                </w:p>
              </w:tc>
              <w:tc>
                <w:tcPr>
                  <w:tcW w:w="2444" w:type="dxa"/>
                </w:tcPr>
                <w:p w:rsidR="00427969" w:rsidRPr="00D974D8" w:rsidRDefault="00F46A78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427969" w:rsidRPr="00D974D8">
              <w:tc>
                <w:tcPr>
                  <w:tcW w:w="2443" w:type="dxa"/>
                </w:tcPr>
                <w:p w:rsidR="00427969" w:rsidRPr="00D974D8" w:rsidRDefault="00427969" w:rsidP="004A6103">
                  <w:pPr>
                    <w:pStyle w:val="aa"/>
                    <w:ind w:left="36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 w:rsidR="00427969" w:rsidRPr="00D974D8" w:rsidRDefault="00427969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427969" w:rsidRPr="00D974D8" w:rsidRDefault="00427969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427969" w:rsidRPr="00D974D8" w:rsidRDefault="00427969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021D8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021D8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16</w:t>
            </w:r>
            <w:r w:rsidR="00021D8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-17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021D8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bookmarkStart w:id="5" w:name="_GoBack"/>
            <w:bookmarkEnd w:id="5"/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021D8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021D8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D974D8" w:rsidRDefault="00E6766F">
      <w:pPr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/>
        </w:rPr>
        <w:lastRenderedPageBreak/>
        <w:ptab w:relativeTo="margin" w:alignment="center" w:leader="none"/>
      </w:r>
    </w:p>
    <w:p w:rsidR="00C341DE" w:rsidRPr="00D974D8" w:rsidRDefault="00C341DE">
      <w:pPr>
        <w:rPr>
          <w:rFonts w:asciiTheme="minorEastAsia" w:eastAsiaTheme="minorEastAsia" w:hAnsiTheme="minorEastAsia"/>
        </w:rPr>
      </w:pPr>
    </w:p>
    <w:p w:rsidR="00C341DE" w:rsidRPr="00D974D8" w:rsidRDefault="00E6766F">
      <w:pPr>
        <w:pStyle w:val="a4"/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D974D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89F" w:rsidRDefault="007E789F">
      <w:pPr>
        <w:spacing w:after="0" w:line="240" w:lineRule="auto"/>
      </w:pPr>
      <w:r>
        <w:separator/>
      </w:r>
    </w:p>
  </w:endnote>
  <w:endnote w:type="continuationSeparator" w:id="0">
    <w:p w:rsidR="007E789F" w:rsidRDefault="007E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1D8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1D86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89F" w:rsidRDefault="007E789F">
      <w:pPr>
        <w:spacing w:after="0" w:line="240" w:lineRule="auto"/>
      </w:pPr>
      <w:r>
        <w:separator/>
      </w:r>
    </w:p>
  </w:footnote>
  <w:footnote w:type="continuationSeparator" w:id="0">
    <w:p w:rsidR="007E789F" w:rsidRDefault="007E7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27" w:rsidRDefault="00932927" w:rsidP="0093292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6DACB49" wp14:editId="52B58C8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789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left:0;text-align:left;margin-left:637.9pt;margin-top:2.6pt;width:85.7pt;height:20.2pt;z-index:251659264;mso-position-horizontal-relative:text;mso-position-vertical-relative:text" stroked="f">
          <v:textbox>
            <w:txbxContent>
              <w:p w:rsidR="00932927" w:rsidRDefault="00932927" w:rsidP="0093292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32927" w:rsidRDefault="00932927" w:rsidP="0093292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6103" w:rsidRPr="00932927" w:rsidRDefault="004A6103" w:rsidP="009329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21D86"/>
    <w:rsid w:val="00027CC7"/>
    <w:rsid w:val="00085E51"/>
    <w:rsid w:val="000C70B0"/>
    <w:rsid w:val="00172B43"/>
    <w:rsid w:val="00321BFB"/>
    <w:rsid w:val="00427969"/>
    <w:rsid w:val="004A6103"/>
    <w:rsid w:val="005623A7"/>
    <w:rsid w:val="006B0602"/>
    <w:rsid w:val="007E789F"/>
    <w:rsid w:val="007F4ADB"/>
    <w:rsid w:val="00830BA7"/>
    <w:rsid w:val="008D3786"/>
    <w:rsid w:val="00932927"/>
    <w:rsid w:val="009726B5"/>
    <w:rsid w:val="009D547F"/>
    <w:rsid w:val="009E67C3"/>
    <w:rsid w:val="009F6441"/>
    <w:rsid w:val="00B03EF4"/>
    <w:rsid w:val="00B67F2E"/>
    <w:rsid w:val="00B87BD0"/>
    <w:rsid w:val="00C341DE"/>
    <w:rsid w:val="00D67F1E"/>
    <w:rsid w:val="00D974D8"/>
    <w:rsid w:val="00DA0D1D"/>
    <w:rsid w:val="00DC36FE"/>
    <w:rsid w:val="00E6766F"/>
    <w:rsid w:val="00EB0FBC"/>
    <w:rsid w:val="00F46A78"/>
    <w:rsid w:val="00F4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103</cp:revision>
  <dcterms:created xsi:type="dcterms:W3CDTF">2015-06-17T12:51:00Z</dcterms:created>
  <dcterms:modified xsi:type="dcterms:W3CDTF">2022-08-04T05:33:00Z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