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938"/>
        <w:gridCol w:w="745"/>
        <w:gridCol w:w="924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8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8"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4" w:type="dxa"/>
            <w:gridSpan w:val="2"/>
            <w:vAlign w:val="center"/>
          </w:tcPr>
          <w:p>
            <w:pPr>
              <w:rPr>
                <w:rFonts w:hint="eastAsia" w:eastAsia="宋体"/>
                <w:sz w:val="24"/>
                <w:szCs w:val="24"/>
                <w:lang w:eastAsia="zh-CN"/>
              </w:rPr>
            </w:pPr>
            <w:r>
              <w:rPr>
                <w:rFonts w:hint="eastAsia"/>
                <w:sz w:val="24"/>
                <w:szCs w:val="24"/>
              </w:rPr>
              <w:t xml:space="preserve">受审核部门：管理层 </w:t>
            </w:r>
            <w:r>
              <w:rPr>
                <w:sz w:val="24"/>
                <w:szCs w:val="24"/>
              </w:rPr>
              <w:t xml:space="preserve">    </w:t>
            </w:r>
            <w:r>
              <w:rPr>
                <w:rFonts w:hint="eastAsia"/>
                <w:sz w:val="24"/>
                <w:szCs w:val="24"/>
                <w:lang w:val="en-US" w:eastAsia="zh-CN"/>
              </w:rPr>
              <w:t>负责人：谢敏</w:t>
            </w:r>
            <w:r>
              <w:rPr>
                <w:sz w:val="24"/>
                <w:szCs w:val="24"/>
              </w:rPr>
              <w:t xml:space="preserve">   </w:t>
            </w:r>
            <w:r>
              <w:rPr>
                <w:rFonts w:hint="eastAsia"/>
                <w:sz w:val="24"/>
                <w:szCs w:val="24"/>
              </w:rPr>
              <w:t>陪同人员：</w:t>
            </w:r>
            <w:r>
              <w:rPr>
                <w:rFonts w:hint="eastAsia"/>
                <w:sz w:val="24"/>
                <w:szCs w:val="24"/>
                <w:lang w:val="en-US" w:eastAsia="zh-CN"/>
              </w:rPr>
              <w:t>施晶晶</w:t>
            </w:r>
          </w:p>
        </w:tc>
        <w:tc>
          <w:tcPr>
            <w:tcW w:w="159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85" w:type="dxa"/>
            <w:vMerge w:val="continue"/>
            <w:vAlign w:val="center"/>
          </w:tcPr>
          <w:p/>
        </w:tc>
        <w:tc>
          <w:tcPr>
            <w:tcW w:w="938" w:type="dxa"/>
            <w:vMerge w:val="continue"/>
            <w:vAlign w:val="center"/>
          </w:tcPr>
          <w:p/>
        </w:tc>
        <w:tc>
          <w:tcPr>
            <w:tcW w:w="9994" w:type="dxa"/>
            <w:gridSpan w:val="2"/>
            <w:vAlign w:val="center"/>
          </w:tcPr>
          <w:p>
            <w:pPr>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2-07-23</w:t>
            </w:r>
          </w:p>
        </w:tc>
        <w:tc>
          <w:tcPr>
            <w:tcW w:w="15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85" w:type="dxa"/>
            <w:vMerge w:val="continue"/>
            <w:vAlign w:val="center"/>
          </w:tcPr>
          <w:p/>
        </w:tc>
        <w:tc>
          <w:tcPr>
            <w:tcW w:w="938" w:type="dxa"/>
            <w:vMerge w:val="continue"/>
            <w:vAlign w:val="center"/>
          </w:tcPr>
          <w:p/>
        </w:tc>
        <w:tc>
          <w:tcPr>
            <w:tcW w:w="9994" w:type="dxa"/>
            <w:gridSpan w:val="2"/>
            <w:vAlign w:val="center"/>
          </w:tcPr>
          <w:p>
            <w:pPr>
              <w:tabs>
                <w:tab w:val="left" w:pos="709"/>
              </w:tabs>
              <w:ind w:right="57"/>
              <w:jc w:val="left"/>
              <w:rPr>
                <w:rFonts w:hint="eastAsia"/>
              </w:rPr>
            </w:pPr>
            <w:r>
              <w:rPr>
                <w:rFonts w:hint="eastAsia"/>
              </w:rPr>
              <w:t>审核条款：FSMS：4.1/4.2/4.3/4.4/5.1/5.2/5.3/6.1/6.2/6.3/7.1.1/</w:t>
            </w:r>
            <w:r>
              <w:t>7.4</w:t>
            </w:r>
            <w:r>
              <w:rPr>
                <w:rFonts w:hint="eastAsia"/>
              </w:rPr>
              <w:t>/9.1.1</w:t>
            </w:r>
            <w:r>
              <w:t>/</w:t>
            </w:r>
            <w:r>
              <w:rPr>
                <w:rFonts w:hint="eastAsia"/>
                <w:lang w:val="en-US" w:eastAsia="zh-CN"/>
              </w:rPr>
              <w:t>9.2/</w:t>
            </w:r>
            <w:r>
              <w:rPr>
                <w:rFonts w:hint="eastAsia"/>
              </w:rPr>
              <w:t>9.3/</w:t>
            </w:r>
            <w:r>
              <w:rPr>
                <w:rFonts w:hint="eastAsia"/>
                <w:lang w:val="en-US" w:eastAsia="zh-CN"/>
              </w:rPr>
              <w:t>10.1</w:t>
            </w:r>
            <w:r>
              <w:t>/</w:t>
            </w:r>
            <w:r>
              <w:rPr>
                <w:rFonts w:hint="eastAsia"/>
              </w:rPr>
              <w:t>10.2/10.3</w:t>
            </w:r>
          </w:p>
          <w:p>
            <w:pPr>
              <w:pStyle w:val="12"/>
            </w:pPr>
          </w:p>
        </w:tc>
        <w:tc>
          <w:tcPr>
            <w:tcW w:w="15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tcPr>
          <w:p>
            <w:r>
              <w:rPr>
                <w:rFonts w:hint="eastAsia"/>
              </w:rPr>
              <w:t>理解组织及其环境</w:t>
            </w:r>
          </w:p>
        </w:tc>
        <w:tc>
          <w:tcPr>
            <w:tcW w:w="938" w:type="dxa"/>
            <w:vMerge w:val="restart"/>
          </w:tcPr>
          <w:p>
            <w:r>
              <w:rPr>
                <w:rFonts w:hint="eastAsia"/>
              </w:rPr>
              <w:t>F4.1</w:t>
            </w:r>
          </w:p>
        </w:tc>
        <w:tc>
          <w:tcPr>
            <w:tcW w:w="745" w:type="dxa"/>
          </w:tcPr>
          <w:p>
            <w:r>
              <w:rPr>
                <w:rFonts w:hint="eastAsia"/>
              </w:rPr>
              <w:t>文件名称</w:t>
            </w:r>
          </w:p>
        </w:tc>
        <w:tc>
          <w:tcPr>
            <w:tcW w:w="9249" w:type="dxa"/>
          </w:tcPr>
          <w:p>
            <w:r>
              <w:rPr>
                <w:rFonts w:hint="eastAsia"/>
              </w:rPr>
              <w:t>如：</w:t>
            </w:r>
            <w:r>
              <w:rPr/>
              <w:sym w:font="Wingdings" w:char="00FE"/>
            </w:r>
            <w:r>
              <w:rPr>
                <w:rFonts w:hint="eastAsia"/>
              </w:rPr>
              <w:t>管理手册第4.1条款、</w:t>
            </w:r>
            <w:r>
              <w:rPr/>
              <w:sym w:font="Wingdings" w:char="00FE"/>
            </w:r>
            <w:r>
              <w:rPr>
                <w:rFonts w:hint="eastAsia"/>
                <w:lang w:eastAsia="zh-CN"/>
              </w:rPr>
              <w:t>《</w:t>
            </w:r>
            <w:r>
              <w:rPr>
                <w:rFonts w:hint="eastAsia"/>
              </w:rPr>
              <w:t>组织内外部环境要素识别表</w:t>
            </w:r>
            <w:r>
              <w:rPr>
                <w:rFonts w:hint="eastAsia"/>
                <w:lang w:eastAsia="zh-CN"/>
              </w:rPr>
              <w:t>》</w:t>
            </w:r>
          </w:p>
        </w:tc>
        <w:tc>
          <w:tcPr>
            <w:tcW w:w="159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5" w:type="dxa"/>
            <w:vMerge w:val="continue"/>
          </w:tcPr>
          <w:p/>
        </w:tc>
        <w:tc>
          <w:tcPr>
            <w:tcW w:w="938" w:type="dxa"/>
            <w:vMerge w:val="continue"/>
          </w:tcPr>
          <w:p/>
        </w:tc>
        <w:tc>
          <w:tcPr>
            <w:tcW w:w="745" w:type="dxa"/>
          </w:tcPr>
          <w:p>
            <w:r>
              <w:rPr>
                <w:rFonts w:hint="eastAsia"/>
              </w:rPr>
              <w:t>运行证据</w:t>
            </w:r>
          </w:p>
        </w:tc>
        <w:tc>
          <w:tcPr>
            <w:tcW w:w="924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外部环境</w:t>
                  </w:r>
                </w:p>
              </w:tc>
              <w:tc>
                <w:tcPr>
                  <w:tcW w:w="668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列举主要的内容</w:t>
                  </w:r>
                </w:p>
              </w:tc>
              <w:tc>
                <w:tcPr>
                  <w:tcW w:w="6683" w:type="dxa"/>
                </w:tcPr>
                <w:p>
                  <w:r>
                    <w:rPr>
                      <w:rFonts w:hint="eastAsia"/>
                      <w:lang w:val="en-US" w:eastAsia="zh-CN"/>
                    </w:rPr>
                    <w:t>客户较为稳定</w:t>
                  </w:r>
                  <w:r>
                    <w:rPr>
                      <w:rFonts w:hint="eastAsia"/>
                      <w:lang w:eastAsia="zh-CN"/>
                    </w:rPr>
                    <w:t>，</w:t>
                  </w:r>
                  <w:r>
                    <w:rPr>
                      <w:rFonts w:hint="eastAsia"/>
                      <w:lang w:val="en-US" w:eastAsia="zh-CN"/>
                    </w:rPr>
                    <w:t>主要为学校食堂、机关事业单位食堂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内部环境</w:t>
                  </w:r>
                </w:p>
              </w:tc>
              <w:tc>
                <w:tcPr>
                  <w:tcW w:w="668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列举主要的内容</w:t>
                  </w:r>
                </w:p>
              </w:tc>
              <w:tc>
                <w:tcPr>
                  <w:tcW w:w="6683" w:type="dxa"/>
                </w:tcPr>
                <w:p>
                  <w:pPr>
                    <w:pStyle w:val="8"/>
                    <w:ind w:left="0" w:leftChars="0" w:firstLine="0" w:firstLineChars="0"/>
                    <w:rPr>
                      <w:rFonts w:hint="eastAsia"/>
                      <w:lang w:val="en-US" w:eastAsia="zh-CN"/>
                    </w:rPr>
                  </w:pPr>
                  <w:r>
                    <w:rPr>
                      <w:rFonts w:hint="eastAsia"/>
                      <w:lang w:val="en-US" w:eastAsia="zh-CN"/>
                    </w:rPr>
                    <w:t>团队年轻化、执行力较强；</w:t>
                  </w:r>
                </w:p>
                <w:p>
                  <w:pPr>
                    <w:pStyle w:val="8"/>
                    <w:ind w:left="0" w:leftChars="0" w:firstLine="0" w:firstLineChars="0"/>
                    <w:rPr>
                      <w:rFonts w:hint="default"/>
                      <w:lang w:val="en-US" w:eastAsia="zh-CN"/>
                    </w:rPr>
                  </w:pPr>
                  <w:r>
                    <w:rPr>
                      <w:rFonts w:hint="eastAsia"/>
                      <w:lang w:val="en-US" w:eastAsia="zh-CN"/>
                    </w:rPr>
                    <w:t>基础设置等资源配置较为优秀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组织优势说明</w:t>
                  </w:r>
                </w:p>
              </w:tc>
              <w:tc>
                <w:tcPr>
                  <w:tcW w:w="6683" w:type="dxa"/>
                </w:tcPr>
                <w:p>
                  <w:pPr>
                    <w:rPr>
                      <w:rFonts w:hint="default" w:eastAsia="宋体"/>
                      <w:lang w:val="en-US" w:eastAsia="zh-CN"/>
                    </w:rPr>
                  </w:pPr>
                  <w:r>
                    <w:rPr>
                      <w:rFonts w:hint="eastAsia"/>
                      <w:lang w:val="en-US" w:eastAsia="zh-CN"/>
                    </w:rPr>
                    <w:t>自有有机蔬菜基地、源头管控较好；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组织劣势说明</w:t>
                  </w:r>
                </w:p>
              </w:tc>
              <w:tc>
                <w:tcPr>
                  <w:tcW w:w="6683" w:type="dxa"/>
                </w:tcPr>
                <w:p>
                  <w:pPr>
                    <w:rPr>
                      <w:rFonts w:hint="default" w:ascii="宋体" w:hAnsi="宋体" w:eastAsia="宋体"/>
                      <w:kern w:val="0"/>
                      <w:szCs w:val="21"/>
                      <w:lang w:val="en-US" w:eastAsia="zh-CN"/>
                    </w:rPr>
                  </w:pPr>
                  <w:r>
                    <w:rPr>
                      <w:rFonts w:hint="eastAsia" w:ascii="宋体" w:hAnsi="宋体"/>
                      <w:kern w:val="0"/>
                      <w:szCs w:val="21"/>
                      <w:lang w:val="en-US" w:eastAsia="zh-CN"/>
                    </w:rPr>
                    <w:t>地理位置相对较为偏远，人才招聘有一定苦难；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主要风险的说明</w:t>
                  </w:r>
                </w:p>
              </w:tc>
              <w:tc>
                <w:tcPr>
                  <w:tcW w:w="6683" w:type="dxa"/>
                </w:tcPr>
                <w:p>
                  <w:pPr>
                    <w:rPr>
                      <w:rFonts w:hint="default" w:eastAsia="宋体"/>
                      <w:lang w:val="en-US" w:eastAsia="zh-CN"/>
                    </w:rPr>
                  </w:pPr>
                  <w:r>
                    <w:rPr>
                      <w:rFonts w:hint="eastAsia"/>
                      <w:lang w:val="en-US" w:eastAsia="zh-CN"/>
                    </w:rPr>
                    <w:t>源头的食品安全控制不当，导致农残、兽残等超标、顾客投诉；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机遇的说明</w:t>
                  </w:r>
                </w:p>
              </w:tc>
              <w:tc>
                <w:tcPr>
                  <w:tcW w:w="6683" w:type="dxa"/>
                </w:tcPr>
                <w:p>
                  <w:r>
                    <w:rPr>
                      <w:rFonts w:hint="eastAsia"/>
                      <w:lang w:val="en-US" w:eastAsia="zh-CN"/>
                    </w:rPr>
                    <w:t>经营多年、口碑较好；通过投标等，赢得新客户，开辟新市场</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rPr>
              <w:t>理解相关方的需求和期望</w:t>
            </w:r>
          </w:p>
        </w:tc>
        <w:tc>
          <w:tcPr>
            <w:tcW w:w="938" w:type="dxa"/>
            <w:vMerge w:val="restart"/>
            <w:shd w:val="clear" w:color="auto" w:fill="EBF1DE" w:themeFill="accent3" w:themeFillTint="32"/>
          </w:tcPr>
          <w:p>
            <w:r>
              <w:rPr>
                <w:rFonts w:hint="eastAsia"/>
              </w:rPr>
              <w:t>F4.2</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南浔</w:t>
                  </w:r>
                  <w:r>
                    <w:rPr>
                      <w:rFonts w:hint="eastAsia"/>
                      <w:highlight w:val="none"/>
                    </w:rPr>
                    <w:t>市市场监督管理局</w:t>
                  </w:r>
                  <w:r>
                    <w:rPr>
                      <w:rFonts w:hint="eastAsia"/>
                      <w:highlight w:val="none"/>
                      <w:lang w:val="en-US" w:eastAsia="zh-CN"/>
                    </w:rPr>
                    <w:t>旧馆镇所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rPr>
                      <w:rFonts w:hint="default" w:eastAsia="宋体"/>
                      <w:highlight w:val="none"/>
                      <w:lang w:val="en-US" w:eastAsia="zh-CN"/>
                    </w:rPr>
                  </w:pPr>
                  <w:r>
                    <w:rPr>
                      <w:rFonts w:hint="eastAsia"/>
                      <w:highlight w:val="none"/>
                      <w:lang w:val="en-US" w:eastAsia="zh-CN"/>
                    </w:rPr>
                    <w:t>浙江本道农业有限公司、南浔双林阿海水产品经营部、湖州三林食品有限公司等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t>□</w:t>
                  </w:r>
                  <w:r>
                    <w:rPr>
                      <w:rFonts w:hint="eastAsia"/>
                      <w:highlight w:val="none"/>
                    </w:rPr>
                    <w:t>顾客</w:t>
                  </w:r>
                </w:p>
              </w:tc>
              <w:tc>
                <w:tcPr>
                  <w:tcW w:w="2701" w:type="dxa"/>
                </w:tcPr>
                <w:p>
                  <w:pPr>
                    <w:rPr>
                      <w:rFonts w:hint="default" w:eastAsia="宋体"/>
                      <w:highlight w:val="none"/>
                      <w:lang w:val="en-US" w:eastAsia="zh-CN"/>
                    </w:rPr>
                  </w:pPr>
                  <w:r>
                    <w:rPr>
                      <w:rFonts w:hint="eastAsia"/>
                      <w:highlight w:val="none"/>
                      <w:lang w:val="en-US" w:eastAsia="zh-CN"/>
                    </w:rPr>
                    <w:t>湖州市庆同小学、南浔实验小学、湖州市南浔锦绣实验学校等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r>
                    <w:rPr>
                      <w:rFonts w:hint="eastAsia" w:ascii="宋体" w:hAnsi="宋体" w:cs="宋体"/>
                      <w:szCs w:val="21"/>
                    </w:rPr>
                    <w:t>学生、老师</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投资方</w:t>
                  </w:r>
                </w:p>
              </w:tc>
              <w:tc>
                <w:tcPr>
                  <w:tcW w:w="2701" w:type="dxa"/>
                </w:tcPr>
                <w:p>
                  <w:pPr>
                    <w:rPr>
                      <w:rFonts w:hint="eastAsia" w:eastAsia="宋体"/>
                      <w:lang w:eastAsia="zh-CN"/>
                    </w:rPr>
                  </w:pPr>
                  <w:r>
                    <w:rPr>
                      <w:rFonts w:hint="eastAsia"/>
                      <w:lang w:eastAsia="zh-CN"/>
                    </w:rPr>
                    <w:t>——</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sym w:font="Wingdings 2" w:char="00A3"/>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81" w:type="dxa"/>
                </w:tcPr>
                <w:p>
                  <w:r>
                    <w:rPr>
                      <w:rFonts w:hint="eastAsia"/>
                    </w:rPr>
                    <w:sym w:font="Wingdings 2" w:char="00A3"/>
                  </w:r>
                  <w:r>
                    <w:rPr>
                      <w:rFonts w:hint="eastAsia"/>
                    </w:rPr>
                    <w:t>社区</w:t>
                  </w:r>
                </w:p>
              </w:tc>
              <w:tc>
                <w:tcPr>
                  <w:tcW w:w="2701" w:type="dxa"/>
                </w:tcPr>
                <w:p>
                  <w:r>
                    <w:rPr>
                      <w:rFonts w:hint="eastAsia"/>
                    </w:rPr>
                    <w:t>——</w:t>
                  </w:r>
                </w:p>
              </w:tc>
              <w:tc>
                <w:tcPr>
                  <w:tcW w:w="4729" w:type="dxa"/>
                </w:tcPr>
                <w:p>
                  <w:r>
                    <w:rPr>
                      <w:rFonts w:hint="eastAsia"/>
                    </w:rPr>
                    <w:sym w:font="Wingdings 2" w:char="00A3"/>
                  </w:r>
                  <w:r>
                    <w:rPr>
                      <w:rFonts w:hint="eastAsia"/>
                    </w:rPr>
                    <w:t>不因食品安全问题影响周围人员的就业</w:t>
                  </w:r>
                </w:p>
                <w:p>
                  <w:r>
                    <w:rPr>
                      <w:rFonts w:hint="eastAsia"/>
                    </w:rPr>
                    <w:sym w:font="Wingdings 2" w:char="00A3"/>
                  </w:r>
                  <w:r>
                    <w:rPr>
                      <w:rFonts w:hint="eastAsia"/>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rPr>
              <w:t>确定食品安全管理体系的范围</w:t>
            </w:r>
          </w:p>
        </w:tc>
        <w:tc>
          <w:tcPr>
            <w:tcW w:w="938" w:type="dxa"/>
            <w:vMerge w:val="restart"/>
            <w:shd w:val="clear" w:color="auto" w:fill="EBF1DE" w:themeFill="accent3" w:themeFillTint="32"/>
          </w:tcPr>
          <w:p>
            <w:r>
              <w:rPr>
                <w:rFonts w:hint="eastAsia"/>
              </w:rPr>
              <w:t>F4.3</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sym w:font="Wingdings" w:char="00FE"/>
            </w:r>
            <w:r>
              <w:rPr>
                <w:rFonts w:hint="eastAsia"/>
              </w:rPr>
              <w:t>管理手册第4.3条款</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rFonts w:hint="default" w:ascii="Times New Roman" w:hAnsi="Times New Roman" w:cs="Times New Roman"/>
                      <w:color w:val="0000FF"/>
                      <w:szCs w:val="21"/>
                    </w:rPr>
                  </w:pPr>
                  <w:r>
                    <w:rPr>
                      <w:rFonts w:hint="default" w:ascii="Times New Roman" w:hAnsi="Times New Roman" w:cs="Times New Roman"/>
                      <w:b/>
                      <w:bCs/>
                      <w:color w:val="0000FF"/>
                      <w:sz w:val="20"/>
                    </w:rPr>
                    <w:t>预包装食品（含冷藏冷冻食品）、初级农产品（蔬菜、淡水产品、畜禽肉）的销售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rPr>
                      <w:rFonts w:hint="default" w:ascii="Times New Roman" w:hAnsi="Times New Roman" w:cs="Times New Roman"/>
                      <w:color w:val="0000FF"/>
                    </w:rPr>
                  </w:pPr>
                  <w:bookmarkStart w:id="0" w:name="审核范围"/>
                  <w:r>
                    <w:rPr>
                      <w:rFonts w:hint="default" w:ascii="Times New Roman" w:hAnsi="Times New Roman" w:cs="Times New Roman"/>
                      <w:b/>
                      <w:bCs/>
                      <w:color w:val="0000FF"/>
                      <w:sz w:val="20"/>
                    </w:rPr>
                    <w:t>位于浙江省湖州市南浔区旧馆镇北港村北港自然村浙江中田农业科技有限公司的预包装食品（含冷藏冷冻食品）、初级农产品（蔬菜、淡水产品、畜禽肉）的销售</w:t>
                  </w:r>
                  <w:bookmarkEnd w:id="0"/>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vAlign w:val="center"/>
                </w:tcPr>
                <w:p>
                  <w:pPr>
                    <w:rPr>
                      <w:rFonts w:cs="Times New Roman" w:asciiTheme="minorEastAsia" w:hAnsiTheme="minorEastAsia" w:eastAsiaTheme="minorEastAsia"/>
                      <w:color w:val="0000FF"/>
                      <w:kern w:val="2"/>
                      <w:sz w:val="20"/>
                      <w:lang w:val="en-US" w:eastAsia="zh-CN" w:bidi="ar-SA"/>
                    </w:rPr>
                  </w:pPr>
                  <w:r>
                    <w:rPr>
                      <w:rFonts w:asciiTheme="minorEastAsia" w:hAnsiTheme="minorEastAsia" w:eastAsiaTheme="minorEastAsia"/>
                      <w:color w:val="0000FF"/>
                      <w:sz w:val="20"/>
                    </w:rPr>
                    <w:t>浙江省湖州市南浔区旧馆镇北港村北港自然村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cs="Times New Roman" w:asciiTheme="minorEastAsia" w:hAnsiTheme="minorEastAsia" w:eastAsiaTheme="minorEastAsia"/>
                      <w:color w:val="0000FF"/>
                      <w:kern w:val="2"/>
                      <w:sz w:val="20"/>
                      <w:lang w:val="en-US" w:eastAsia="zh-CN" w:bidi="ar-SA"/>
                    </w:rPr>
                  </w:pPr>
                  <w:r>
                    <w:rPr>
                      <w:rFonts w:asciiTheme="minorEastAsia" w:hAnsiTheme="minorEastAsia" w:eastAsiaTheme="minorEastAsia"/>
                      <w:color w:val="0000FF"/>
                      <w:sz w:val="20"/>
                    </w:rPr>
                    <w:t>浙江省湖州市南浔区旧馆镇北港村北港自然村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r>
                    <w:rPr>
                      <w:rFonts w:hint="eastAsia"/>
                      <w:color w:val="0000FF"/>
                      <w:u w:val="single"/>
                      <w:lang w:eastAsia="zh-CN"/>
                    </w:rPr>
                    <w:t>——</w:t>
                  </w:r>
                  <w:r>
                    <w:rPr>
                      <w:rFonts w:hint="eastAsia"/>
                      <w:color w:val="0000FF"/>
                      <w:u w:val="single"/>
                      <w:lang w:val="en-US" w:eastAsia="zh-CN"/>
                    </w:rPr>
                    <w:t>不涉及</w:t>
                  </w:r>
                  <w:r>
                    <w:rPr>
                      <w:rFonts w:hint="eastAsia"/>
                      <w:color w:val="0000FF"/>
                      <w:u w:val="single"/>
                    </w:rPr>
                    <w:t xml:space="preserve">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rFonts w:hint="eastAsia"/>
                      <w:color w:val="0000FF"/>
                      <w:u w:val="single"/>
                      <w:lang w:eastAsia="zh-CN"/>
                    </w:rPr>
                    <w:t>——</w:t>
                  </w:r>
                  <w:r>
                    <w:rPr>
                      <w:rFonts w:hint="eastAsia"/>
                      <w:color w:val="0000FF"/>
                      <w:u w:val="single"/>
                      <w:lang w:val="en-US" w:eastAsia="zh-CN"/>
                    </w:rPr>
                    <w:t>不涉及</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color w:val="0000FF"/>
                    </w:rPr>
                    <w:t>2</w:t>
                  </w:r>
                  <w:r>
                    <w:rPr>
                      <w:color w:val="0000FF"/>
                    </w:rPr>
                    <w:t>0</w:t>
                  </w:r>
                  <w:r>
                    <w:rPr>
                      <w:rFonts w:hint="eastAsia"/>
                      <w:color w:val="0000FF"/>
                      <w:lang w:val="en-US" w:eastAsia="zh-CN"/>
                    </w:rPr>
                    <w:t>22.03.01</w:t>
                  </w:r>
                </w:p>
                <w:p>
                  <w:pPr>
                    <w:rPr>
                      <w:rFonts w:hint="default" w:eastAsia="宋体"/>
                      <w:lang w:val="en-US" w:eastAsia="zh-CN"/>
                    </w:rPr>
                  </w:pPr>
                  <w:r>
                    <w:rPr>
                      <w:rFonts w:hint="eastAsia"/>
                    </w:rPr>
                    <w:sym w:font="Wingdings" w:char="00A8"/>
                  </w:r>
                  <w:r>
                    <w:rPr>
                      <w:rFonts w:hint="eastAsia"/>
                      <w:lang w:val="en-US" w:eastAsia="zh-CN"/>
                    </w:rPr>
                    <w:t xml:space="preserve"> 审核周期内未发生变化</w:t>
                  </w:r>
                </w:p>
              </w:tc>
              <w:tc>
                <w:tcPr>
                  <w:tcW w:w="1686" w:type="dxa"/>
                </w:tcPr>
                <w:p/>
              </w:tc>
            </w:tr>
          </w:tbl>
          <w:p/>
          <w:p>
            <w:pPr>
              <w:rPr>
                <w:color w:val="000000"/>
                <w:szCs w:val="21"/>
              </w:rPr>
            </w:pPr>
            <w:r>
              <w:rPr>
                <w:rFonts w:hint="eastAsia"/>
                <w:color w:val="000000"/>
                <w:szCs w:val="21"/>
              </w:rPr>
              <w:t>在企业的管理手册中有描述。</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pPr>
              <w:jc w:val="left"/>
            </w:pPr>
            <w:r>
              <w:rPr>
                <w:rFonts w:hint="eastAsia"/>
              </w:rPr>
              <w:t>食品安全管理体系及其过程</w:t>
            </w:r>
          </w:p>
        </w:tc>
        <w:tc>
          <w:tcPr>
            <w:tcW w:w="938" w:type="dxa"/>
            <w:vMerge w:val="restart"/>
            <w:shd w:val="clear" w:color="auto" w:fill="EBF1DE" w:themeFill="accent3" w:themeFillTint="32"/>
          </w:tcPr>
          <w:p>
            <w:r>
              <w:rPr>
                <w:rFonts w:hint="eastAsia"/>
              </w:rPr>
              <w:t xml:space="preserve"> F4.4 </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rPr>
              <w:t>领导作用与承诺</w:t>
            </w:r>
          </w:p>
        </w:tc>
        <w:tc>
          <w:tcPr>
            <w:tcW w:w="938" w:type="dxa"/>
            <w:vMerge w:val="restart"/>
            <w:shd w:val="clear" w:color="auto" w:fill="EBF1DE" w:themeFill="accent3" w:themeFillTint="32"/>
          </w:tcPr>
          <w:p>
            <w:r>
              <w:rPr>
                <w:rFonts w:hint="eastAsia"/>
              </w:rPr>
              <w:t>F5.1</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sym w:font="Wingdings" w:char="00FE"/>
            </w:r>
            <w:r>
              <w:rPr>
                <w:rFonts w:hint="eastAsia"/>
              </w:rPr>
              <w:t>管理手册第5.1条款  和“0.5各部门及岗位职责”</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rPr>
              <w:t>食品安全方针</w:t>
            </w:r>
          </w:p>
        </w:tc>
        <w:tc>
          <w:tcPr>
            <w:tcW w:w="938" w:type="dxa"/>
            <w:vMerge w:val="restart"/>
            <w:shd w:val="clear" w:color="auto" w:fill="EBF1DE" w:themeFill="accent3" w:themeFillTint="32"/>
          </w:tcPr>
          <w:p>
            <w:r>
              <w:rPr>
                <w:rFonts w:hint="eastAsia"/>
              </w:rPr>
              <w:t>F5.2</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和“0.2 食品安全方针、目标”</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rPr>
                <w:u w:val="single"/>
              </w:rPr>
            </w:pPr>
            <w:r>
              <w:rPr>
                <w:rFonts w:hint="eastAsia"/>
                <w:color w:val="000000"/>
                <w:szCs w:val="21"/>
              </w:rPr>
              <w:t xml:space="preserve"> </w:t>
            </w:r>
            <w:r>
              <w:rPr>
                <w:rFonts w:hint="eastAsia"/>
              </w:rPr>
              <w:t>最高管理者制定了文件化的管理体系方针：</w:t>
            </w:r>
          </w:p>
          <w:p>
            <w:pPr>
              <w:widowControl/>
              <w:spacing w:before="40"/>
              <w:ind w:firstLine="211" w:firstLineChars="100"/>
              <w:jc w:val="left"/>
              <w:rPr>
                <w:b/>
                <w:bCs/>
                <w:u w:val="single"/>
              </w:rPr>
            </w:pPr>
            <w:r>
              <w:rPr>
                <w:rFonts w:hint="eastAsia"/>
                <w:b/>
                <w:bCs/>
                <w:color w:val="0000FF"/>
                <w:szCs w:val="18"/>
                <w:u w:val="single"/>
                <w:lang w:val="en-US" w:eastAsia="zh-CN"/>
              </w:rPr>
              <w:t xml:space="preserve">顾客至上 品质为尊 标准规范 </w:t>
            </w:r>
            <w:r>
              <w:rPr>
                <w:rFonts w:hint="eastAsia"/>
                <w:b/>
                <w:bCs/>
                <w:u w:val="single"/>
              </w:rPr>
              <w:t xml:space="preserve"> </w:t>
            </w:r>
          </w:p>
          <w:p>
            <w:pPr>
              <w:widowControl/>
              <w:spacing w:before="40"/>
              <w:jc w:val="left"/>
              <w:rPr>
                <w:b/>
                <w:bCs/>
                <w:u w:val="single"/>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rPr>
              <w:t>组织的岗位、职责和权限</w:t>
            </w:r>
          </w:p>
          <w:p/>
        </w:tc>
        <w:tc>
          <w:tcPr>
            <w:tcW w:w="938" w:type="dxa"/>
            <w:vMerge w:val="restart"/>
            <w:shd w:val="clear" w:color="auto" w:fill="EBF1DE" w:themeFill="accent3" w:themeFillTint="32"/>
          </w:tcPr>
          <w:p>
            <w:r>
              <w:rPr>
                <w:rFonts w:hint="eastAsia"/>
              </w:rPr>
              <w:t>F5.3</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管理手册第5.3条款和“0.4食品安全管理体系职能分配表”</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43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430" w:type="dxa"/>
                </w:tcPr>
                <w:p>
                  <w:r>
                    <w:rPr>
                      <w:rFonts w:hint="eastAsia"/>
                    </w:rPr>
                    <w:t>过程名称</w:t>
                  </w:r>
                </w:p>
              </w:tc>
              <w:tc>
                <w:tcPr>
                  <w:tcW w:w="2092"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430" w:type="dxa"/>
                </w:tcPr>
                <w:p>
                  <w:r>
                    <w:rPr>
                      <w:rFonts w:hint="eastAsia"/>
                    </w:rPr>
                    <w:t>OPRP和HACCP的实施</w:t>
                  </w:r>
                </w:p>
              </w:tc>
              <w:tc>
                <w:tcPr>
                  <w:tcW w:w="2092" w:type="dxa"/>
                </w:tcPr>
                <w:p>
                  <w:r>
                    <w:rPr>
                      <w:rFonts w:hint="eastAsia"/>
                      <w:lang w:val="en-US" w:eastAsia="zh-CN"/>
                    </w:rPr>
                    <w:t>运营管理部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运营管理部</w:t>
                  </w:r>
                </w:p>
              </w:tc>
              <w:tc>
                <w:tcPr>
                  <w:tcW w:w="2430" w:type="dxa"/>
                </w:tcPr>
                <w:p>
                  <w:r>
                    <w:rPr>
                      <w:rFonts w:hint="eastAsia"/>
                    </w:rPr>
                    <w:t>FSMS验证和确认</w:t>
                  </w:r>
                </w:p>
              </w:tc>
              <w:tc>
                <w:tcPr>
                  <w:tcW w:w="2092"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eastAsia="zh-CN"/>
                    </w:rPr>
                  </w:pPr>
                  <w:r>
                    <w:rPr>
                      <w:rFonts w:hint="eastAsia"/>
                      <w:lang w:val="en-US" w:eastAsia="zh-CN"/>
                    </w:rPr>
                    <w:t>行政部</w:t>
                  </w:r>
                </w:p>
              </w:tc>
              <w:tc>
                <w:tcPr>
                  <w:tcW w:w="2430" w:type="dxa"/>
                </w:tcPr>
                <w:p>
                  <w:r>
                    <w:rPr>
                      <w:rFonts w:hint="eastAsia"/>
                    </w:rPr>
                    <w:t>监视和测量控制</w:t>
                  </w:r>
                </w:p>
              </w:tc>
              <w:tc>
                <w:tcPr>
                  <w:tcW w:w="2092" w:type="dxa"/>
                </w:tcPr>
                <w:p>
                  <w:r>
                    <w:rPr>
                      <w:rFonts w:hint="eastAsia"/>
                      <w:lang w:val="en-US" w:eastAsia="zh-CN"/>
                    </w:rPr>
                    <w:t>运营管理部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430" w:type="dxa"/>
                </w:tcPr>
                <w:p/>
              </w:tc>
              <w:tc>
                <w:tcPr>
                  <w:tcW w:w="2092" w:type="dxa"/>
                </w:tcPr>
                <w:p/>
              </w:tc>
            </w:tr>
          </w:tbl>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85" w:type="dxa"/>
            <w:shd w:val="clear" w:color="auto" w:fill="EBF1DE" w:themeFill="accent3" w:themeFillTint="32"/>
          </w:tcPr>
          <w:p/>
        </w:tc>
        <w:tc>
          <w:tcPr>
            <w:tcW w:w="938" w:type="dxa"/>
            <w:shd w:val="clear" w:color="auto" w:fill="EBF1DE" w:themeFill="accent3" w:themeFillTint="32"/>
          </w:tcPr>
          <w:p/>
        </w:tc>
        <w:tc>
          <w:tcPr>
            <w:tcW w:w="745" w:type="dxa"/>
            <w:shd w:val="clear" w:color="auto" w:fill="EBF1DE" w:themeFill="accent3" w:themeFillTint="32"/>
          </w:tcPr>
          <w:p/>
        </w:tc>
        <w:tc>
          <w:tcPr>
            <w:tcW w:w="9249" w:type="dxa"/>
            <w:shd w:val="clear" w:color="auto" w:fill="EBF1DE" w:themeFill="accent3" w:themeFillTint="32"/>
          </w:tcPr>
          <w:p>
            <w:pPr>
              <w:rPr>
                <w:rFonts w:hint="eastAsia"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施晶晶 女士</w:t>
            </w:r>
            <w:r>
              <w:rPr>
                <w:rFonts w:hint="eastAsia"/>
                <w:u w:val="single"/>
              </w:rPr>
              <w:t xml:space="preserve"> </w:t>
            </w:r>
            <w:r>
              <w:rPr>
                <w:rFonts w:hint="eastAsia"/>
                <w:u w:val="single"/>
                <w:lang w:val="en-US" w:eastAsia="zh-CN"/>
              </w:rPr>
              <w:t xml:space="preserve">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7"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pPr>
              <w:rPr>
                <w:color w:val="000000"/>
                <w:szCs w:val="21"/>
              </w:rPr>
            </w:pPr>
            <w:r>
              <w:rPr>
                <w:rFonts w:hint="eastAsia"/>
                <w:color w:val="000000"/>
                <w:szCs w:val="21"/>
              </w:rPr>
              <w:t>应对风险和机遇的措施</w:t>
            </w:r>
          </w:p>
          <w:p/>
        </w:tc>
        <w:tc>
          <w:tcPr>
            <w:tcW w:w="938" w:type="dxa"/>
            <w:vMerge w:val="restart"/>
            <w:shd w:val="clear" w:color="auto" w:fill="EBF1DE" w:themeFill="accent3" w:themeFillTint="32"/>
          </w:tcPr>
          <w:p>
            <w:r>
              <w:rPr>
                <w:rFonts w:hint="eastAsia"/>
                <w:color w:val="000000"/>
                <w:szCs w:val="21"/>
              </w:rPr>
              <w:t>F6.1.1</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rFonts w:hint="eastAsia"/>
              </w:rPr>
              <w:sym w:font="Wingdings" w:char="00FE"/>
            </w:r>
            <w:r>
              <w:rPr>
                <w:rFonts w:hint="eastAsia"/>
              </w:rPr>
              <w:t>管理手册第6.1条款、</w:t>
            </w:r>
            <w:r>
              <w:rPr>
                <w:rFonts w:hint="eastAsia"/>
              </w:rPr>
              <w:sym w:font="Wingdings" w:char="00A8"/>
            </w:r>
            <w:r>
              <w:rPr>
                <w:rFonts w:hint="eastAsia"/>
              </w:rPr>
              <w:t>《</w:t>
            </w:r>
            <w:r>
              <w:rPr>
                <w:rFonts w:hint="eastAsia"/>
                <w:color w:val="000000"/>
                <w:szCs w:val="21"/>
              </w:rPr>
              <w:t>风险和机遇</w:t>
            </w:r>
            <w:r>
              <w:rPr>
                <w:rFonts w:hint="eastAsia"/>
              </w:rPr>
              <w:t>控制程序》</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highlight w:val="none"/>
                    </w:rPr>
                  </w:pPr>
                  <w:r>
                    <w:rPr>
                      <w:rFonts w:hint="eastAsia"/>
                      <w:highlight w:val="none"/>
                    </w:rPr>
                    <w:t>主要的风险描述</w:t>
                  </w:r>
                </w:p>
              </w:tc>
              <w:tc>
                <w:tcPr>
                  <w:tcW w:w="425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农残控制不当，超标导致顾客投诉</w:t>
                  </w:r>
                </w:p>
              </w:tc>
              <w:tc>
                <w:tcPr>
                  <w:tcW w:w="4258" w:type="dxa"/>
                </w:tcPr>
                <w:p>
                  <w:pPr>
                    <w:numPr>
                      <w:ilvl w:val="0"/>
                      <w:numId w:val="1"/>
                    </w:numPr>
                    <w:rPr>
                      <w:rFonts w:hint="default"/>
                      <w:highlight w:val="none"/>
                      <w:lang w:val="en-US" w:eastAsia="zh-CN"/>
                    </w:rPr>
                  </w:pPr>
                  <w:r>
                    <w:rPr>
                      <w:rFonts w:hint="eastAsia"/>
                      <w:highlight w:val="none"/>
                      <w:lang w:val="en-US" w:eastAsia="zh-CN"/>
                    </w:rPr>
                    <w:t>加强人员的培训；</w:t>
                  </w:r>
                </w:p>
                <w:p>
                  <w:pPr>
                    <w:pStyle w:val="8"/>
                    <w:numPr>
                      <w:ilvl w:val="0"/>
                      <w:numId w:val="1"/>
                    </w:numPr>
                    <w:ind w:left="0" w:leftChars="0" w:firstLine="0" w:firstLineChars="0"/>
                    <w:rPr>
                      <w:rFonts w:hint="default"/>
                      <w:highlight w:val="none"/>
                      <w:lang w:val="en-US" w:eastAsia="zh-CN"/>
                    </w:rPr>
                  </w:pPr>
                  <w:r>
                    <w:rPr>
                      <w:rFonts w:hint="eastAsia"/>
                      <w:highlight w:val="none"/>
                      <w:lang w:val="en-US" w:eastAsia="zh-CN"/>
                    </w:rPr>
                    <w:t>对于农残超标的蔬菜，只有基地自种，自行管理；</w:t>
                  </w:r>
                </w:p>
                <w:p>
                  <w:pPr>
                    <w:pStyle w:val="8"/>
                    <w:numPr>
                      <w:ilvl w:val="0"/>
                      <w:numId w:val="1"/>
                    </w:numPr>
                    <w:ind w:left="0" w:leftChars="0" w:firstLine="0" w:firstLineChars="0"/>
                    <w:rPr>
                      <w:rFonts w:hint="default"/>
                      <w:highlight w:val="none"/>
                      <w:lang w:val="en-US" w:eastAsia="zh-CN"/>
                    </w:rPr>
                  </w:pPr>
                  <w:r>
                    <w:rPr>
                      <w:rFonts w:hint="eastAsia"/>
                      <w:highlight w:val="none"/>
                      <w:lang w:val="en-US" w:eastAsia="zh-CN"/>
                    </w:rPr>
                    <w:t>源头控制蔬菜类农残</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asciiTheme="minorEastAsia" w:hAnsiTheme="minorEastAsia" w:eastAsiaTheme="minorEastAsia"/>
                      <w:szCs w:val="21"/>
                      <w:highlight w:val="yellow"/>
                      <w:lang w:val="en-US" w:eastAsia="zh-CN"/>
                    </w:rPr>
                  </w:pPr>
                </w:p>
              </w:tc>
              <w:tc>
                <w:tcPr>
                  <w:tcW w:w="4258" w:type="dxa"/>
                </w:tcPr>
                <w:p>
                  <w:pPr>
                    <w:pStyle w:val="8"/>
                    <w:numPr>
                      <w:numId w:val="0"/>
                    </w:numPr>
                    <w:ind w:leftChars="0"/>
                    <w:rPr>
                      <w:rFonts w:hint="default"/>
                      <w:highlight w:val="yellow"/>
                      <w:lang w:val="en-US"/>
                    </w:rPr>
                  </w:pPr>
                </w:p>
              </w:tc>
              <w:tc>
                <w:tcPr>
                  <w:tcW w:w="1717"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highlight w:val="yellow"/>
                    </w:rPr>
                  </w:pPr>
                </w:p>
              </w:tc>
              <w:tc>
                <w:tcPr>
                  <w:tcW w:w="4258" w:type="dxa"/>
                </w:tcPr>
                <w:p>
                  <w:pPr>
                    <w:snapToGrid w:val="0"/>
                    <w:spacing w:line="360" w:lineRule="exact"/>
                    <w:jc w:val="left"/>
                    <w:rPr>
                      <w:rFonts w:ascii="宋体" w:hAnsi="宋体" w:cs="宋体"/>
                      <w:szCs w:val="21"/>
                      <w:highlight w:val="yellow"/>
                    </w:rPr>
                  </w:pPr>
                </w:p>
              </w:tc>
              <w:tc>
                <w:tcPr>
                  <w:tcW w:w="1717" w:type="dxa"/>
                </w:tcPr>
                <w:p>
                  <w:pPr>
                    <w:rPr>
                      <w:highlight w:val="yellow"/>
                    </w:rPr>
                  </w:p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pPr>
                    <w:rPr>
                      <w:highlight w:val="none"/>
                    </w:rPr>
                  </w:pPr>
                  <w:r>
                    <w:rPr>
                      <w:rFonts w:hint="eastAsia"/>
                      <w:highlight w:val="none"/>
                    </w:rPr>
                    <w:t>主要的机遇描述</w:t>
                  </w:r>
                </w:p>
              </w:tc>
              <w:tc>
                <w:tcPr>
                  <w:tcW w:w="3913" w:type="dxa"/>
                </w:tcPr>
                <w:p>
                  <w:pPr>
                    <w:rPr>
                      <w:szCs w:val="24"/>
                      <w:highlight w:val="none"/>
                    </w:rPr>
                  </w:pPr>
                  <w:r>
                    <w:rPr>
                      <w:rFonts w:hint="eastAsia"/>
                      <w:highlight w:val="none"/>
                    </w:rPr>
                    <w:t>应对措施</w:t>
                  </w:r>
                </w:p>
              </w:tc>
              <w:tc>
                <w:tcPr>
                  <w:tcW w:w="1752"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highlight w:val="none"/>
                      <w:lang w:val="en-US" w:eastAsia="zh-CN"/>
                    </w:rPr>
                  </w:pPr>
                  <w:r>
                    <w:rPr>
                      <w:rFonts w:hint="eastAsia"/>
                      <w:highlight w:val="none"/>
                      <w:lang w:val="en-US" w:eastAsia="zh-CN"/>
                    </w:rPr>
                    <w:t>国家对农业关注度高、市场对食材配送的需求增加</w:t>
                  </w:r>
                </w:p>
              </w:tc>
              <w:tc>
                <w:tcPr>
                  <w:tcW w:w="3913" w:type="dxa"/>
                </w:tcPr>
                <w:p>
                  <w:pPr>
                    <w:numPr>
                      <w:ilvl w:val="0"/>
                      <w:numId w:val="2"/>
                    </w:numPr>
                    <w:ind w:leftChars="0"/>
                    <w:rPr>
                      <w:rFonts w:hint="eastAsia"/>
                      <w:highlight w:val="none"/>
                      <w:lang w:val="en-US" w:eastAsia="zh-CN"/>
                    </w:rPr>
                  </w:pPr>
                  <w:r>
                    <w:rPr>
                      <w:rFonts w:hint="eastAsia"/>
                      <w:highlight w:val="none"/>
                      <w:lang w:val="en-US" w:eastAsia="zh-CN"/>
                    </w:rPr>
                    <w:t>通过不断建立体系，提高自身管理；</w:t>
                  </w:r>
                </w:p>
                <w:p>
                  <w:pPr>
                    <w:pStyle w:val="2"/>
                    <w:numPr>
                      <w:numId w:val="0"/>
                    </w:numPr>
                    <w:rPr>
                      <w:rFonts w:hint="default"/>
                      <w:highlight w:val="none"/>
                      <w:lang w:val="en-US" w:eastAsia="zh-CN"/>
                    </w:rPr>
                  </w:pPr>
                  <w:r>
                    <w:rPr>
                      <w:rFonts w:hint="eastAsia"/>
                      <w:highlight w:val="none"/>
                      <w:lang w:val="en-US" w:eastAsia="zh-CN"/>
                    </w:rPr>
                    <w:t>2）关注国家的各项要求，向各行业学习取优；</w:t>
                  </w:r>
                </w:p>
              </w:tc>
              <w:tc>
                <w:tcPr>
                  <w:tcW w:w="1752"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rFonts w:hint="default" w:eastAsia="宋体"/>
                      <w:szCs w:val="24"/>
                      <w:highlight w:val="none"/>
                      <w:lang w:val="en-US" w:eastAsia="zh-CN"/>
                    </w:rPr>
                  </w:pPr>
                  <w:r>
                    <w:rPr>
                      <w:rFonts w:hint="eastAsia"/>
                      <w:szCs w:val="24"/>
                      <w:highlight w:val="none"/>
                      <w:lang w:val="en-US" w:eastAsia="zh-CN"/>
                    </w:rPr>
                    <w:t>标准化管理，具备市场竞争条件，争取“区级未来农场建设评价认证标准”</w:t>
                  </w:r>
                </w:p>
              </w:tc>
              <w:tc>
                <w:tcPr>
                  <w:tcW w:w="3913" w:type="dxa"/>
                </w:tcPr>
                <w:p>
                  <w:pPr>
                    <w:numPr>
                      <w:ilvl w:val="0"/>
                      <w:numId w:val="3"/>
                    </w:numPr>
                    <w:rPr>
                      <w:rFonts w:hint="default"/>
                      <w:highlight w:val="none"/>
                      <w:lang w:val="en-US" w:eastAsia="zh-CN"/>
                    </w:rPr>
                  </w:pPr>
                  <w:r>
                    <w:rPr>
                      <w:rFonts w:hint="eastAsia"/>
                      <w:highlight w:val="none"/>
                      <w:lang w:val="en-US" w:eastAsia="zh-CN"/>
                    </w:rPr>
                    <w:t>导入食品安全管理体系；</w:t>
                  </w:r>
                </w:p>
                <w:p>
                  <w:pPr>
                    <w:numPr>
                      <w:ilvl w:val="0"/>
                      <w:numId w:val="3"/>
                    </w:numPr>
                    <w:rPr>
                      <w:rFonts w:hint="default"/>
                      <w:highlight w:val="none"/>
                      <w:lang w:val="en-US" w:eastAsia="zh-CN"/>
                    </w:rPr>
                  </w:pPr>
                  <w:r>
                    <w:rPr>
                      <w:rFonts w:hint="eastAsia"/>
                      <w:highlight w:val="none"/>
                      <w:lang w:val="en-US" w:eastAsia="zh-CN"/>
                    </w:rPr>
                    <w:t>不断通过培训提升内部员工能力；</w:t>
                  </w:r>
                </w:p>
                <w:p>
                  <w:pPr>
                    <w:pStyle w:val="2"/>
                    <w:numPr>
                      <w:ilvl w:val="0"/>
                      <w:numId w:val="4"/>
                    </w:numPr>
                    <w:ind w:left="0" w:leftChars="0" w:firstLine="0" w:firstLineChars="0"/>
                    <w:rPr>
                      <w:rFonts w:hint="default"/>
                      <w:highlight w:val="none"/>
                      <w:lang w:val="en-US" w:eastAsia="zh-CN"/>
                    </w:rPr>
                  </w:pPr>
                  <w:r>
                    <w:rPr>
                      <w:rFonts w:hint="eastAsia"/>
                      <w:highlight w:val="none"/>
                      <w:lang w:val="en-US" w:eastAsia="zh-CN"/>
                    </w:rPr>
                    <w:t>后期计划退出“浙农码、浙农优品”等追溯码，实现全程追溯</w:t>
                  </w:r>
                </w:p>
              </w:tc>
              <w:tc>
                <w:tcPr>
                  <w:tcW w:w="1752"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3034" w:type="dxa"/>
                </w:tcPr>
                <w:p>
                  <w:pPr>
                    <w:rPr>
                      <w:szCs w:val="24"/>
                    </w:rPr>
                  </w:pPr>
                </w:p>
              </w:tc>
              <w:tc>
                <w:tcPr>
                  <w:tcW w:w="3913" w:type="dxa"/>
                </w:tcPr>
                <w:p/>
              </w:tc>
              <w:tc>
                <w:tcPr>
                  <w:tcW w:w="1752" w:type="dxa"/>
                </w:tcPr>
                <w:p/>
              </w:tc>
            </w:tr>
          </w:tbl>
          <w:p/>
          <w:p/>
          <w:p>
            <w:pPr>
              <w:rPr>
                <w:rFonts w:hint="eastAsia" w:eastAsia="宋体"/>
                <w:lang w:eastAsia="zh-CN"/>
              </w:rPr>
            </w:pPr>
            <w:r>
              <w:rPr>
                <w:rFonts w:hint="eastAsia"/>
              </w:rPr>
              <w:t>FSMS</w:t>
            </w:r>
            <w:r>
              <w:rPr>
                <w:rFonts w:hint="eastAsia"/>
                <w:lang w:eastAsia="zh-CN"/>
              </w:rPr>
              <w:t>：</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FE"/>
            </w:r>
            <w:r>
              <w:rPr>
                <w:rFonts w:hint="eastAsia"/>
                <w:u w:val="single"/>
              </w:rPr>
              <w:t>其他</w:t>
            </w:r>
            <w:r>
              <w:rPr>
                <w:rFonts w:hint="eastAsia"/>
                <w:u w:val="single"/>
                <w:lang w:eastAsia="zh-CN"/>
              </w:rPr>
              <w:t>——</w:t>
            </w:r>
            <w:r>
              <w:rPr>
                <w:rFonts w:hint="eastAsia"/>
                <w:u w:val="single"/>
                <w:lang w:val="en-US" w:eastAsia="zh-CN"/>
              </w:rPr>
              <w:t>疫情</w:t>
            </w:r>
            <w:r>
              <w:rPr>
                <w:rFonts w:hint="eastAsia"/>
                <w:u w:val="single"/>
              </w:rPr>
              <w:t xml:space="preserve">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85" w:type="dxa"/>
            <w:vMerge w:val="restart"/>
            <w:shd w:val="clear" w:color="auto" w:fill="EBF1DE" w:themeFill="accent3" w:themeFillTint="32"/>
          </w:tcPr>
          <w:p/>
        </w:tc>
        <w:tc>
          <w:tcPr>
            <w:tcW w:w="938" w:type="dxa"/>
            <w:shd w:val="clear" w:color="auto" w:fill="EBF1DE" w:themeFill="accent3" w:themeFillTint="32"/>
          </w:tcPr>
          <w:p>
            <w:r>
              <w:rPr>
                <w:rFonts w:hint="eastAsia"/>
                <w:color w:val="000000"/>
                <w:szCs w:val="21"/>
              </w:rPr>
              <w:t>F6.1.2</w:t>
            </w: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w:t>
            </w:r>
            <w:r>
              <w:rPr>
                <w:rFonts w:hint="eastAsia" w:ascii="CIDFont+F5" w:hAnsi="CIDFont+F5" w:eastAsia="CIDFont+F5"/>
                <w:lang w:val="en-US" w:eastAsia="zh-CN"/>
              </w:rPr>
              <w:t>风险和机遇及其应对措施跟进表</w:t>
            </w:r>
            <w:r>
              <w:rPr>
                <w:rFonts w:hint="eastAsia" w:ascii="CIDFont+F5" w:hAnsi="CIDFont+F5" w:eastAsia="CIDFont+F5"/>
              </w:rPr>
              <w:t>》</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7"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85" w:type="dxa"/>
            <w:vMerge w:val="continue"/>
            <w:shd w:val="clear" w:color="auto" w:fill="EBF1DE" w:themeFill="accent3" w:themeFillTint="32"/>
          </w:tcPr>
          <w:p>
            <w:pPr>
              <w:rPr>
                <w:highlight w:val="yellow"/>
              </w:rPr>
            </w:pPr>
          </w:p>
        </w:tc>
        <w:tc>
          <w:tcPr>
            <w:tcW w:w="938" w:type="dxa"/>
            <w:shd w:val="clear" w:color="auto" w:fill="EBF1DE" w:themeFill="accent3" w:themeFillTint="32"/>
          </w:tcPr>
          <w:p>
            <w:r>
              <w:rPr>
                <w:rFonts w:hint="eastAsia"/>
                <w:color w:val="000000"/>
                <w:szCs w:val="21"/>
              </w:rPr>
              <w:t>F6.1.3</w:t>
            </w: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7"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pPr>
              <w:rPr>
                <w:color w:val="000000"/>
                <w:szCs w:val="21"/>
              </w:rPr>
            </w:pPr>
            <w:r>
              <w:rPr>
                <w:rFonts w:hint="eastAsia"/>
                <w:color w:val="000000"/>
                <w:szCs w:val="21"/>
              </w:rPr>
              <w:t>食品安全目标及其实现的策划</w:t>
            </w:r>
          </w:p>
          <w:p/>
        </w:tc>
        <w:tc>
          <w:tcPr>
            <w:tcW w:w="938" w:type="dxa"/>
            <w:vMerge w:val="restart"/>
            <w:shd w:val="clear" w:color="auto" w:fill="EBF1DE" w:themeFill="accent3" w:themeFillTint="32"/>
          </w:tcPr>
          <w:p>
            <w:pPr>
              <w:rPr>
                <w:color w:val="000000"/>
                <w:szCs w:val="21"/>
              </w:rPr>
            </w:pPr>
            <w:r>
              <w:rPr>
                <w:rFonts w:hint="eastAsia"/>
                <w:color w:val="000000"/>
                <w:szCs w:val="21"/>
              </w:rPr>
              <w:t>F6.2</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sym w:font="Wingdings" w:char="00FE"/>
            </w:r>
            <w:r>
              <w:rPr>
                <w:rFonts w:hint="eastAsia"/>
              </w:rPr>
              <w:t xml:space="preserve">手册第6.2条款、《目标管理程序》 </w:t>
            </w:r>
            <w:r>
              <w:rPr/>
              <w:sym w:font="Wingdings" w:char="00FE"/>
            </w:r>
            <w:r>
              <w:rPr>
                <w:rFonts w:hint="eastAsia"/>
              </w:rPr>
              <w:t>《</w:t>
            </w:r>
            <w:r>
              <w:rPr>
                <w:rFonts w:hint="eastAsia"/>
                <w:color w:val="000000"/>
                <w:szCs w:val="21"/>
              </w:rPr>
              <w:t>食品安全目标分解及考核</w:t>
            </w:r>
            <w:r>
              <w:rPr>
                <w:rFonts w:hint="eastAsia"/>
                <w:color w:val="000000"/>
                <w:szCs w:val="21"/>
                <w:lang w:val="en-US" w:eastAsia="zh-CN"/>
              </w:rPr>
              <w:t>结果</w:t>
            </w:r>
            <w:r>
              <w:rPr>
                <w:rFonts w:hint="eastAsia"/>
                <w:color w:val="000000"/>
                <w:szCs w:val="21"/>
              </w:rPr>
              <w:t>统计</w:t>
            </w:r>
            <w:r>
              <w:rPr>
                <w:rFonts w:hint="eastAsia"/>
              </w:rPr>
              <w:t>》</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028"/>
              <w:gridCol w:w="2389"/>
              <w:gridCol w:w="134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szCs w:val="22"/>
                    </w:rPr>
                    <w:t>食品安全</w:t>
                  </w:r>
                  <w:r>
                    <w:rPr>
                      <w:rFonts w:hint="eastAsia"/>
                      <w:color w:val="000000"/>
                      <w:szCs w:val="18"/>
                    </w:rPr>
                    <w:t>目标</w:t>
                  </w:r>
                </w:p>
              </w:tc>
              <w:tc>
                <w:tcPr>
                  <w:tcW w:w="102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考核频次</w:t>
                  </w:r>
                </w:p>
              </w:tc>
              <w:tc>
                <w:tcPr>
                  <w:tcW w:w="238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134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szCs w:val="22"/>
                    </w:rPr>
                    <w:t>责任部门</w:t>
                  </w:r>
                </w:p>
              </w:tc>
              <w:tc>
                <w:tcPr>
                  <w:tcW w:w="211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完成情况（审核周期</w:t>
                  </w:r>
                  <w:r>
                    <w:rPr>
                      <w:rFonts w:hint="eastAsia"/>
                      <w:color w:val="000000"/>
                      <w:szCs w:val="18"/>
                      <w:lang w:val="en-US" w:eastAsia="zh-CN"/>
                    </w:rPr>
                    <w:t>2022.03-2022.06</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11" w:type="dxa"/>
                  <w:vAlign w:val="top"/>
                </w:tcPr>
                <w:p>
                  <w:pPr>
                    <w:pStyle w:val="17"/>
                    <w:spacing w:before="75"/>
                    <w:ind w:left="108" w:leftChars="0"/>
                    <w:rPr>
                      <w:rFonts w:hint="eastAsia" w:ascii="宋体" w:hAnsi="宋体" w:eastAsia="宋体" w:cs="宋体"/>
                      <w:kern w:val="2"/>
                      <w:sz w:val="21"/>
                      <w:szCs w:val="21"/>
                      <w:lang w:val="en-US" w:eastAsia="zh-CN" w:bidi="zh-CN"/>
                    </w:rPr>
                  </w:pPr>
                  <w:r>
                    <w:rPr>
                      <w:rFonts w:hint="eastAsia"/>
                      <w:sz w:val="21"/>
                      <w:szCs w:val="21"/>
                      <w:lang w:val="en-US" w:eastAsia="zh-CN"/>
                    </w:rPr>
                    <w:t>杜绝重大的安全质量事故</w:t>
                  </w:r>
                </w:p>
              </w:tc>
              <w:tc>
                <w:tcPr>
                  <w:tcW w:w="1028" w:type="dxa"/>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sz w:val="21"/>
                      <w:szCs w:val="21"/>
                      <w:lang w:val="en-US" w:eastAsia="zh-CN"/>
                    </w:rPr>
                    <w:t>年度</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重大质量安全事故发生0次</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11" w:type="dxa"/>
                  <w:vAlign w:val="top"/>
                </w:tcPr>
                <w:p>
                  <w:pPr>
                    <w:pStyle w:val="17"/>
                    <w:spacing w:before="49"/>
                    <w:ind w:left="108" w:leftChars="0"/>
                    <w:rPr>
                      <w:rFonts w:hint="eastAsia" w:ascii="宋体" w:hAnsi="宋体" w:eastAsia="宋体" w:cs="宋体"/>
                      <w:kern w:val="2"/>
                      <w:sz w:val="21"/>
                      <w:szCs w:val="21"/>
                      <w:lang w:val="en-US" w:eastAsia="zh-CN" w:bidi="zh-CN"/>
                    </w:rPr>
                  </w:pPr>
                  <w:r>
                    <w:rPr>
                      <w:rFonts w:hint="eastAsia" w:cs="宋体"/>
                      <w:kern w:val="2"/>
                      <w:sz w:val="21"/>
                      <w:szCs w:val="21"/>
                      <w:lang w:val="en-US" w:eastAsia="zh-CN" w:bidi="zh-CN"/>
                    </w:rPr>
                    <w:t>产品采购合格率≥98%</w:t>
                  </w:r>
                </w:p>
              </w:tc>
              <w:tc>
                <w:tcPr>
                  <w:tcW w:w="1028" w:type="dxa"/>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sz w:val="21"/>
                      <w:szCs w:val="21"/>
                      <w:lang w:val="en-US" w:eastAsia="zh-CN"/>
                    </w:rPr>
                    <w:t>季度</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采购产品合格数量采购产品总数X100%</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运营管理部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11" w:type="dxa"/>
                  <w:vAlign w:val="top"/>
                </w:tcPr>
                <w:p>
                  <w:pPr>
                    <w:pStyle w:val="17"/>
                    <w:spacing w:before="23"/>
                    <w:ind w:left="108" w:leftChars="0"/>
                    <w:rPr>
                      <w:rFonts w:hint="eastAsia" w:ascii="宋体" w:hAnsi="宋体" w:eastAsia="宋体" w:cs="宋体"/>
                      <w:kern w:val="2"/>
                      <w:sz w:val="21"/>
                      <w:szCs w:val="21"/>
                      <w:lang w:val="en-US" w:eastAsia="zh-CN" w:bidi="zh-CN"/>
                    </w:rPr>
                  </w:pPr>
                  <w:r>
                    <w:rPr>
                      <w:rFonts w:hint="eastAsia"/>
                      <w:sz w:val="21"/>
                      <w:szCs w:val="21"/>
                      <w:lang w:val="en-US" w:eastAsia="zh-CN"/>
                    </w:rPr>
                    <w:t>顾客投诉处理率100%</w:t>
                  </w:r>
                </w:p>
              </w:tc>
              <w:tc>
                <w:tcPr>
                  <w:tcW w:w="1028" w:type="dxa"/>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sz w:val="21"/>
                      <w:szCs w:val="21"/>
                      <w:lang w:val="en-US" w:eastAsia="zh-CN"/>
                    </w:rPr>
                    <w:t>季度</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已及时处理的顾客投诉/所有顾客投诉X100%</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无发生</w:t>
                  </w:r>
                </w:p>
              </w:tc>
            </w:tr>
          </w:tbl>
          <w:p>
            <w:pPr>
              <w:pStyle w:val="8"/>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pPr>
              <w:rPr>
                <w:color w:val="000000"/>
                <w:szCs w:val="21"/>
              </w:rPr>
            </w:pPr>
            <w:r>
              <w:rPr>
                <w:rFonts w:hint="eastAsia"/>
                <w:color w:val="000000"/>
                <w:szCs w:val="21"/>
              </w:rPr>
              <w:t>变更的策划</w:t>
            </w:r>
          </w:p>
          <w:p/>
        </w:tc>
        <w:tc>
          <w:tcPr>
            <w:tcW w:w="938" w:type="dxa"/>
            <w:vMerge w:val="restart"/>
            <w:shd w:val="clear" w:color="auto" w:fill="EBF1DE" w:themeFill="accent3" w:themeFillTint="32"/>
          </w:tcPr>
          <w:p>
            <w:r>
              <w:rPr>
                <w:rFonts w:hint="eastAsia"/>
                <w:color w:val="000000"/>
                <w:szCs w:val="21"/>
              </w:rPr>
              <w:t>F6.3</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运营管理部、行政部、业务部的负责人，变更后不影响体系运行，提供了变更任命；人员能力评价情况见F7.2条款</w:t>
            </w:r>
            <w:r>
              <w:rPr>
                <w:rFonts w:hint="eastAsia"/>
              </w:rPr>
              <w:t xml:space="preserve"> □生产工艺/服务流程 </w:t>
            </w:r>
          </w:p>
          <w:p>
            <w:pPr>
              <w:spacing w:before="40" w:after="40"/>
            </w:pPr>
            <w:r>
              <w:rPr>
                <w:rFonts w:hint="eastAsia"/>
              </w:rPr>
              <w:t xml:space="preserve">□主要设备设施 □主要检测设备 </w:t>
            </w:r>
            <w:r>
              <w:rPr/>
              <w:sym w:font="Wingdings" w:char="00A8"/>
            </w:r>
            <w:r>
              <w:rPr>
                <w:rFonts w:hint="eastAsia"/>
              </w:rPr>
              <w:t>其他</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rPr>
              <w:t>资源（总则）</w:t>
            </w:r>
          </w:p>
        </w:tc>
        <w:tc>
          <w:tcPr>
            <w:tcW w:w="938" w:type="dxa"/>
            <w:vMerge w:val="restart"/>
            <w:shd w:val="clear" w:color="auto" w:fill="EBF1DE" w:themeFill="accent3" w:themeFillTint="32"/>
          </w:tcPr>
          <w:p>
            <w:r>
              <w:rPr>
                <w:rFonts w:hint="eastAsia"/>
                <w:color w:val="000000"/>
                <w:szCs w:val="21"/>
              </w:rPr>
              <w:t>F7.1</w:t>
            </w: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sym w:font="Wingdings" w:char="00FE"/>
            </w:r>
            <w:r>
              <w:rPr>
                <w:rFonts w:hint="eastAsia"/>
              </w:rPr>
              <w:t>管理手册第7.1章</w:t>
            </w:r>
          </w:p>
        </w:tc>
        <w:tc>
          <w:tcPr>
            <w:tcW w:w="1597"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rPr>
                <w:rFonts w:hint="default" w:eastAsia="宋体"/>
                <w:highlight w:val="none"/>
                <w:u w:val="single"/>
                <w:lang w:val="en-US" w:eastAsia="zh-CN"/>
              </w:rPr>
            </w:pPr>
            <w:r>
              <w:rPr>
                <w:rFonts w:hint="eastAsia"/>
                <w:highlight w:val="none"/>
                <w:u w:val="single"/>
              </w:rPr>
              <w:t>厂房</w:t>
            </w:r>
            <w:r>
              <w:rPr>
                <w:rFonts w:hint="eastAsia"/>
                <w:highlight w:val="none"/>
                <w:u w:val="single"/>
                <w:lang w:val="en-US" w:eastAsia="zh-CN"/>
              </w:rPr>
              <w:t>占地</w:t>
            </w:r>
            <w:r>
              <w:rPr>
                <w:rFonts w:hint="eastAsia"/>
                <w:highlight w:val="none"/>
                <w:u w:val="single"/>
              </w:rPr>
              <w:t xml:space="preserve">面积： </w:t>
            </w:r>
            <w:r>
              <w:rPr>
                <w:rFonts w:hint="eastAsia"/>
                <w:color w:val="000000"/>
                <w:szCs w:val="21"/>
                <w:highlight w:val="none"/>
                <w:u w:val="single"/>
              </w:rPr>
              <w:t>4727</w:t>
            </w:r>
            <w:r>
              <w:rPr>
                <w:rFonts w:hint="eastAsia"/>
                <w:highlight w:val="none"/>
                <w:u w:val="single"/>
              </w:rPr>
              <w:t xml:space="preserve">平方米；建筑面积 </w:t>
            </w:r>
            <w:r>
              <w:rPr>
                <w:rFonts w:hint="eastAsia"/>
                <w:color w:val="000000"/>
                <w:szCs w:val="21"/>
                <w:highlight w:val="none"/>
                <w:u w:val="single"/>
              </w:rPr>
              <w:t>3137</w:t>
            </w:r>
            <w:r>
              <w:rPr>
                <w:rFonts w:hint="eastAsia"/>
                <w:highlight w:val="none"/>
                <w:u w:val="single"/>
              </w:rPr>
              <w:t xml:space="preserve"> 平方米；</w:t>
            </w:r>
            <w:r>
              <w:rPr>
                <w:rFonts w:hint="eastAsia"/>
                <w:highlight w:val="none"/>
                <w:u w:val="single"/>
                <w:lang w:val="en-US" w:eastAsia="zh-CN"/>
              </w:rPr>
              <w:t>常温库2个，冷冻库2个，冷藏库1个，</w:t>
            </w:r>
            <w:r>
              <w:rPr>
                <w:rFonts w:hint="eastAsia"/>
                <w:highlight w:val="none"/>
                <w:u w:val="single"/>
              </w:rPr>
              <w:t>配送场地 1 个；配送车辆：</w:t>
            </w:r>
            <w:r>
              <w:rPr>
                <w:rFonts w:hint="eastAsia"/>
                <w:highlight w:val="none"/>
                <w:u w:val="single"/>
                <w:lang w:val="en-US" w:eastAsia="zh-CN"/>
              </w:rPr>
              <w:t>7</w:t>
            </w:r>
            <w:r>
              <w:rPr>
                <w:rFonts w:hint="eastAsia"/>
                <w:highlight w:val="none"/>
                <w:u w:val="single"/>
              </w:rPr>
              <w:t xml:space="preserve"> 辆</w:t>
            </w:r>
            <w:r>
              <w:rPr>
                <w:rFonts w:hint="eastAsia"/>
                <w:highlight w:val="none"/>
                <w:u w:val="single"/>
                <w:lang w:eastAsia="zh-CN"/>
              </w:rPr>
              <w:t>（</w:t>
            </w:r>
            <w:r>
              <w:rPr>
                <w:rFonts w:hint="eastAsia"/>
                <w:highlight w:val="none"/>
                <w:u w:val="single"/>
                <w:lang w:val="en-US" w:eastAsia="zh-CN"/>
              </w:rPr>
              <w:t>4辆冷藏车</w:t>
            </w:r>
            <w:r>
              <w:rPr>
                <w:rFonts w:hint="eastAsia"/>
                <w:highlight w:val="none"/>
                <w:u w:val="single"/>
                <w:lang w:eastAsia="zh-CN"/>
              </w:rPr>
              <w:t>）</w:t>
            </w:r>
            <w:r>
              <w:rPr>
                <w:rFonts w:hint="eastAsia"/>
                <w:highlight w:val="none"/>
                <w:u w:val="single"/>
              </w:rPr>
              <w:t>；</w:t>
            </w:r>
            <w:r>
              <w:rPr>
                <w:rFonts w:hint="eastAsia"/>
                <w:highlight w:val="none"/>
                <w:u w:val="single"/>
                <w:lang w:val="en-US" w:eastAsia="zh-CN"/>
              </w:rPr>
              <w:t>办公室2个；检验室1个；</w:t>
            </w:r>
          </w:p>
          <w:p>
            <w:pPr>
              <w:pStyle w:val="8"/>
              <w:rPr>
                <w:rFonts w:hint="default"/>
                <w:lang w:val="en-US" w:eastAsia="zh-CN"/>
              </w:rPr>
            </w:pP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szCs w:val="21"/>
                <w:u w:val="single"/>
                <w:lang w:eastAsia="zh-CN"/>
              </w:rPr>
              <w:t>、</w:t>
            </w:r>
            <w:r>
              <w:rPr>
                <w:rFonts w:hint="eastAsia"/>
                <w:szCs w:val="21"/>
                <w:u w:val="single"/>
                <w:lang w:val="en-US" w:eastAsia="zh-CN"/>
              </w:rPr>
              <w:t>手动拖车、灭火器</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6"/>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5"/>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5" w:type="dxa"/>
            <w:vMerge w:val="restart"/>
            <w:shd w:val="clear" w:color="auto" w:fill="EBF1DE" w:themeFill="accent3" w:themeFillTint="32"/>
          </w:tcPr>
          <w:p>
            <w:r>
              <w:rPr>
                <w:rFonts w:hint="eastAsia"/>
                <w:color w:val="000000"/>
                <w:szCs w:val="21"/>
              </w:rPr>
              <w:t>人员</w:t>
            </w:r>
          </w:p>
        </w:tc>
        <w:tc>
          <w:tcPr>
            <w:tcW w:w="938" w:type="dxa"/>
            <w:vMerge w:val="restart"/>
            <w:shd w:val="clear" w:color="auto" w:fill="EBF1DE" w:themeFill="accent3" w:themeFillTint="32"/>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8"/>
            </w:pPr>
          </w:p>
          <w:p>
            <w:pPr>
              <w:rPr>
                <w:color w:val="000000"/>
                <w:szCs w:val="21"/>
              </w:rPr>
            </w:pPr>
          </w:p>
        </w:tc>
        <w:tc>
          <w:tcPr>
            <w:tcW w:w="745" w:type="dxa"/>
            <w:shd w:val="clear" w:color="auto" w:fill="EBF1DE" w:themeFill="accent3" w:themeFillTint="32"/>
          </w:tcPr>
          <w:p>
            <w:r>
              <w:rPr>
                <w:rFonts w:hint="eastAsia"/>
              </w:rPr>
              <w:t>文件名称</w:t>
            </w:r>
          </w:p>
        </w:tc>
        <w:tc>
          <w:tcPr>
            <w:tcW w:w="9249" w:type="dxa"/>
            <w:shd w:val="clear" w:color="auto" w:fill="EBF1DE" w:themeFill="accent3" w:themeFillTint="32"/>
          </w:tcPr>
          <w:p>
            <w:r>
              <w:rPr>
                <w:rFonts w:hint="eastAsia"/>
              </w:rPr>
              <w:t>如：</w:t>
            </w:r>
            <w:r>
              <w:rPr/>
              <w:sym w:font="Wingdings" w:char="00FE"/>
            </w:r>
            <w:r>
              <w:rPr>
                <w:rFonts w:hint="eastAsia"/>
              </w:rPr>
              <w:t xml:space="preserve">手册第7.1.1、7.1.2条款  </w:t>
            </w:r>
            <w:r>
              <w:rPr/>
              <w:sym w:font="Wingdings" w:char="00FE"/>
            </w:r>
            <w:r>
              <w:rPr>
                <w:rFonts w:hint="eastAsia"/>
              </w:rPr>
              <w:t>《人力资源管理和岗位培训程序》</w:t>
            </w:r>
          </w:p>
        </w:tc>
        <w:tc>
          <w:tcPr>
            <w:tcW w:w="1597"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85" w:type="dxa"/>
            <w:vMerge w:val="continue"/>
            <w:shd w:val="clear" w:color="auto" w:fill="EBF1DE" w:themeFill="accent3" w:themeFillTint="32"/>
          </w:tcPr>
          <w:p/>
        </w:tc>
        <w:tc>
          <w:tcPr>
            <w:tcW w:w="938"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49" w:type="dxa"/>
            <w:shd w:val="clear" w:color="auto" w:fill="EBF1DE" w:themeFill="accent3"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szCs w:val="21"/>
                      <w:lang w:eastAsia="zh-CN"/>
                    </w:rPr>
                  </w:pPr>
                  <w:r>
                    <w:rPr>
                      <w:rFonts w:hint="eastAsia"/>
                      <w:color w:val="000000"/>
                      <w:szCs w:val="21"/>
                      <w:lang w:val="en-US" w:eastAsia="zh-CN"/>
                    </w:rPr>
                    <w:t>7</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38</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45</w:t>
                  </w:r>
                </w:p>
              </w:tc>
            </w:tr>
          </w:tbl>
          <w:p>
            <w:pPr>
              <w:rPr>
                <w:rFonts w:hint="default" w:eastAsia="宋体"/>
                <w:lang w:val="en-US" w:eastAsia="zh-CN"/>
              </w:rPr>
            </w:pPr>
          </w:p>
          <w:p>
            <w:pPr>
              <w:pStyle w:val="8"/>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color w:val="0000FF"/>
              </w:rPr>
              <w:t>（</w:t>
            </w:r>
            <w:r>
              <w:rPr>
                <w:rFonts w:hint="eastAsia"/>
                <w:color w:val="0000FF"/>
                <w:lang w:eastAsia="zh-CN"/>
              </w:rPr>
              <w:t>——</w:t>
            </w:r>
            <w:r>
              <w:rPr>
                <w:rFonts w:hint="eastAsia"/>
                <w:color w:val="0000FF"/>
              </w:rPr>
              <w:t>不涉及）</w:t>
            </w:r>
          </w:p>
          <w:p>
            <w:r>
              <w:rPr>
                <w:rFonts w:hint="eastAsia"/>
              </w:rPr>
              <w:t xml:space="preserve">    </w:t>
            </w:r>
          </w:p>
        </w:tc>
        <w:tc>
          <w:tcPr>
            <w:tcW w:w="1597"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vMerge w:val="restart"/>
          </w:tcPr>
          <w:p>
            <w:bookmarkStart w:id="1" w:name="_GoBack"/>
            <w:r>
              <w:rPr>
                <w:rFonts w:hint="eastAsia"/>
              </w:rPr>
              <w:t>监视、测量、分析和评价</w:t>
            </w:r>
          </w:p>
          <w:p/>
        </w:tc>
        <w:tc>
          <w:tcPr>
            <w:tcW w:w="938" w:type="dxa"/>
            <w:vMerge w:val="restart"/>
          </w:tcPr>
          <w:p>
            <w:r>
              <w:rPr>
                <w:rFonts w:hint="eastAsia"/>
              </w:rPr>
              <w:t>F9.1.1</w:t>
            </w:r>
          </w:p>
          <w:p/>
        </w:tc>
        <w:tc>
          <w:tcPr>
            <w:tcW w:w="745" w:type="dxa"/>
          </w:tcPr>
          <w:p>
            <w:r>
              <w:rPr>
                <w:rFonts w:hint="eastAsia"/>
              </w:rPr>
              <w:t>文件名称</w:t>
            </w:r>
          </w:p>
        </w:tc>
        <w:tc>
          <w:tcPr>
            <w:tcW w:w="9249" w:type="dxa"/>
          </w:tcPr>
          <w:p>
            <w:pPr>
              <w:rPr>
                <w:b/>
                <w:bCs/>
              </w:rPr>
            </w:pPr>
            <w:r>
              <w:rPr>
                <w:rFonts w:hint="eastAsia"/>
              </w:rPr>
              <w:t>如：</w:t>
            </w:r>
            <w:r>
              <w:rPr>
                <w:rFonts w:hint="eastAsia"/>
              </w:rPr>
              <w:sym w:font="Wingdings" w:char="00FE"/>
            </w:r>
            <w:r>
              <w:rPr>
                <w:rFonts w:hint="eastAsia"/>
              </w:rPr>
              <w:t>管理手册9.1.1条款</w:t>
            </w:r>
          </w:p>
        </w:tc>
        <w:tc>
          <w:tcPr>
            <w:tcW w:w="159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5" w:type="dxa"/>
            <w:vMerge w:val="continue"/>
          </w:tcPr>
          <w:p/>
        </w:tc>
        <w:tc>
          <w:tcPr>
            <w:tcW w:w="938" w:type="dxa"/>
            <w:vMerge w:val="continue"/>
          </w:tcPr>
          <w:p/>
        </w:tc>
        <w:tc>
          <w:tcPr>
            <w:tcW w:w="745" w:type="dxa"/>
          </w:tcPr>
          <w:p>
            <w:r>
              <w:rPr>
                <w:rFonts w:hint="eastAsia"/>
              </w:rPr>
              <w:t>运行证据</w:t>
            </w:r>
          </w:p>
        </w:tc>
        <w:tc>
          <w:tcPr>
            <w:tcW w:w="9249" w:type="dxa"/>
          </w:tcPr>
          <w:p>
            <w:r>
              <w:rPr>
                <w:rFonts w:hint="eastAsia"/>
              </w:rPr>
              <w:t>组织对监视和测量的食品安全绩效：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368" w:type="dxa"/>
                </w:tcPr>
                <w:p>
                  <w:pPr>
                    <w:rPr>
                      <w:szCs w:val="21"/>
                    </w:rPr>
                  </w:pPr>
                  <w:r>
                    <w:rPr>
                      <w:rFonts w:hint="eastAsia"/>
                      <w:szCs w:val="21"/>
                    </w:rPr>
                    <w:t>监视、测量、分析和评价的方法</w:t>
                  </w:r>
                </w:p>
              </w:tc>
              <w:tc>
                <w:tcPr>
                  <w:tcW w:w="1955"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eastAsia" w:eastAsia="宋体"/>
                      <w:szCs w:val="21"/>
                      <w:lang w:val="en-US" w:eastAsia="zh-CN"/>
                    </w:rPr>
                  </w:pPr>
                  <w:r>
                    <w:rPr>
                      <w:rFonts w:hint="eastAsia"/>
                      <w:szCs w:val="21"/>
                      <w:lang w:val="en-US" w:eastAsia="zh-CN"/>
                    </w:rPr>
                    <w:t>产品</w:t>
                  </w:r>
                </w:p>
              </w:tc>
              <w:tc>
                <w:tcPr>
                  <w:tcW w:w="2368" w:type="dxa"/>
                </w:tcPr>
                <w:p>
                  <w:pPr>
                    <w:rPr>
                      <w:rFonts w:hint="eastAsia"/>
                      <w:lang w:val="en-US" w:eastAsia="zh-CN"/>
                    </w:rPr>
                  </w:pPr>
                  <w:r>
                    <w:rPr>
                      <w:rFonts w:hint="eastAsia"/>
                      <w:lang w:val="en-US" w:eastAsia="zh-CN"/>
                    </w:rPr>
                    <w:t>预包装类每年从供方索取检测报告；</w:t>
                  </w:r>
                </w:p>
                <w:p>
                  <w:pPr>
                    <w:pStyle w:val="2"/>
                    <w:ind w:left="0" w:leftChars="0" w:firstLine="0" w:firstLineChars="0"/>
                    <w:rPr>
                      <w:rFonts w:hint="eastAsia"/>
                      <w:lang w:val="en-US" w:eastAsia="zh-CN"/>
                    </w:rPr>
                  </w:pPr>
                  <w:r>
                    <w:rPr>
                      <w:rFonts w:hint="eastAsia"/>
                      <w:lang w:val="en-US" w:eastAsia="zh-CN"/>
                    </w:rPr>
                    <w:t>蔬菜、淡水产品、畜禽肉每年送检1次；</w:t>
                  </w:r>
                </w:p>
                <w:p>
                  <w:pPr>
                    <w:pStyle w:val="2"/>
                    <w:ind w:left="0" w:leftChars="0" w:firstLine="0" w:firstLineChars="0"/>
                    <w:rPr>
                      <w:rFonts w:hint="default"/>
                      <w:lang w:val="en-US" w:eastAsia="zh-CN"/>
                    </w:rPr>
                  </w:pPr>
                  <w:r>
                    <w:rPr>
                      <w:rFonts w:hint="eastAsia"/>
                      <w:lang w:val="en-US" w:eastAsia="zh-CN"/>
                    </w:rPr>
                    <w:t>水：每年1次</w:t>
                  </w:r>
                </w:p>
              </w:tc>
              <w:tc>
                <w:tcPr>
                  <w:tcW w:w="1955" w:type="dxa"/>
                </w:tcPr>
                <w:p>
                  <w:pPr>
                    <w:rPr>
                      <w:szCs w:val="21"/>
                      <w:highlight w:val="none"/>
                    </w:rPr>
                  </w:pPr>
                  <w:r>
                    <w:rPr>
                      <w:rFonts w:hint="eastAsia" w:ascii="Segoe UI Emoji" w:hAnsi="Segoe UI Emoji" w:cs="Segoe UI Emoji"/>
                      <w:color w:val="000000"/>
                      <w:sz w:val="15"/>
                      <w:szCs w:val="15"/>
                      <w:highlight w:val="none"/>
                      <w:lang w:eastAsia="zh-CN"/>
                    </w:rPr>
                    <w:t>□</w:t>
                  </w:r>
                  <w:r>
                    <w:rPr>
                      <w:rFonts w:hint="eastAsia"/>
                      <w:szCs w:val="21"/>
                      <w:highlight w:val="none"/>
                    </w:rPr>
                    <w:t>定期检查</w:t>
                  </w:r>
                </w:p>
                <w:p>
                  <w:pPr>
                    <w:rPr>
                      <w:rFonts w:hint="eastAsia" w:eastAsia="宋体"/>
                      <w:szCs w:val="21"/>
                      <w:highlight w:val="none"/>
                      <w:lang w:eastAsia="zh-CN"/>
                    </w:rPr>
                  </w:pPr>
                  <w:r>
                    <w:rPr>
                      <w:rFonts w:hint="eastAsia" w:ascii="Segoe UI Emoji" w:hAnsi="Segoe UI Emoji" w:cs="Segoe UI Emoji"/>
                      <w:color w:val="000000"/>
                      <w:sz w:val="15"/>
                      <w:szCs w:val="15"/>
                      <w:highlight w:val="none"/>
                      <w:lang w:eastAsia="zh-CN"/>
                    </w:rPr>
                    <w:sym w:font="Wingdings 2" w:char="0052"/>
                  </w:r>
                  <w:r>
                    <w:rPr>
                      <w:rFonts w:hint="eastAsia"/>
                      <w:szCs w:val="21"/>
                      <w:highlight w:val="none"/>
                      <w:lang w:val="en-US" w:eastAsia="zh-CN"/>
                    </w:rPr>
                    <w:t>每批</w:t>
                  </w:r>
                </w:p>
                <w:p>
                  <w:pPr>
                    <w:rPr>
                      <w:rFonts w:hint="eastAsia"/>
                      <w:szCs w:val="21"/>
                      <w:highlight w:val="none"/>
                    </w:rPr>
                  </w:pPr>
                  <w:r>
                    <w:rPr>
                      <w:rFonts w:ascii="Segoe UI Emoji" w:hAnsi="Segoe UI Emoji" w:cs="Segoe UI Emoji"/>
                      <w:color w:val="000000"/>
                      <w:sz w:val="15"/>
                      <w:szCs w:val="15"/>
                      <w:highlight w:val="none"/>
                    </w:rPr>
                    <w:t>☑</w:t>
                  </w:r>
                  <w:r>
                    <w:rPr>
                      <w:rFonts w:hint="eastAsia"/>
                      <w:color w:val="000000"/>
                      <w:szCs w:val="21"/>
                      <w:highlight w:val="none"/>
                    </w:rPr>
                    <w:t>每年</w:t>
                  </w:r>
                </w:p>
              </w:tc>
              <w:tc>
                <w:tcPr>
                  <w:tcW w:w="1809" w:type="dxa"/>
                </w:tcPr>
                <w:p>
                  <w:pPr>
                    <w:rPr>
                      <w:rFonts w:hint="default" w:eastAsia="宋体"/>
                      <w:szCs w:val="21"/>
                      <w:highlight w:val="none"/>
                      <w:lang w:val="en-US" w:eastAsia="zh-CN"/>
                    </w:rPr>
                  </w:pPr>
                  <w:r>
                    <w:rPr>
                      <w:rFonts w:hint="eastAsia"/>
                      <w:szCs w:val="21"/>
                      <w:highlight w:val="none"/>
                      <w:lang w:val="en-US" w:eastAsia="zh-CN"/>
                    </w:rPr>
                    <w:t>产品安全性标准、《危害控制计划》等</w:t>
                  </w:r>
                </w:p>
              </w:tc>
              <w:tc>
                <w:tcPr>
                  <w:tcW w:w="1738" w:type="dxa"/>
                </w:tcPr>
                <w:p>
                  <w:pPr>
                    <w:rPr>
                      <w:rFonts w:hint="eastAsia" w:eastAsia="宋体"/>
                      <w:szCs w:val="21"/>
                      <w:highlight w:val="none"/>
                      <w:lang w:eastAsia="zh-CN"/>
                    </w:rPr>
                  </w:pPr>
                  <w:r>
                    <w:rPr>
                      <w:rFonts w:hint="eastAsia" w:ascii="Segoe UI Emoji" w:hAnsi="Segoe UI Emoji" w:cs="Segoe UI Emoji"/>
                      <w:color w:val="000000"/>
                      <w:sz w:val="15"/>
                      <w:szCs w:val="15"/>
                      <w:highlight w:val="none"/>
                      <w:lang w:eastAsia="zh-CN"/>
                    </w:rPr>
                    <w:t>□</w:t>
                  </w:r>
                  <w:r>
                    <w:rPr>
                      <w:rFonts w:hint="eastAsia"/>
                      <w:szCs w:val="21"/>
                      <w:highlight w:val="none"/>
                    </w:rPr>
                    <w:t>每月</w:t>
                  </w:r>
                  <w:r>
                    <w:rPr>
                      <w:rFonts w:hint="eastAsia"/>
                      <w:color w:val="000000"/>
                      <w:szCs w:val="21"/>
                      <w:highlight w:val="none"/>
                    </w:rPr>
                    <w:t xml:space="preserve"> </w:t>
                  </w:r>
                  <w:r>
                    <w:rPr>
                      <w:rFonts w:hint="eastAsia"/>
                      <w:color w:val="000000"/>
                      <w:szCs w:val="21"/>
                      <w:highlight w:val="none"/>
                    </w:rPr>
                    <w:sym w:font="Wingdings 2" w:char="0052"/>
                  </w:r>
                  <w:r>
                    <w:rPr>
                      <w:rFonts w:hint="eastAsia"/>
                      <w:szCs w:val="21"/>
                      <w:highlight w:val="none"/>
                    </w:rPr>
                    <w:t xml:space="preserve">每季度 </w:t>
                  </w:r>
                  <w:r>
                    <w:rPr>
                      <w:rFonts w:hint="eastAsia" w:ascii="Segoe UI Emoji" w:hAnsi="Segoe UI Emoji" w:cs="Segoe UI Emoji"/>
                      <w:color w:val="000000"/>
                      <w:sz w:val="15"/>
                      <w:szCs w:val="15"/>
                      <w:highlight w:val="none"/>
                    </w:rPr>
                    <w:sym w:font="Wingdings 2" w:char="0052"/>
                  </w:r>
                  <w:r>
                    <w:rPr>
                      <w:rFonts w:hint="eastAsia"/>
                      <w:szCs w:val="21"/>
                      <w:highlight w:val="none"/>
                    </w:rPr>
                    <w:t>每年</w:t>
                  </w:r>
                  <w:r>
                    <w:rPr>
                      <w:rFonts w:hint="eastAsia"/>
                      <w:color w:val="000000"/>
                      <w:szCs w:val="21"/>
                      <w:highlight w:val="none"/>
                    </w:rPr>
                    <w:sym w:font="Wingdings 2" w:char="0052"/>
                  </w:r>
                  <w:r>
                    <w:rPr>
                      <w:rFonts w:hint="eastAsia"/>
                      <w:szCs w:val="21"/>
                      <w:highlight w:val="none"/>
                      <w:lang w:val="en-US" w:eastAsia="zh-CN"/>
                    </w:rPr>
                    <w:t>每批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368"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95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lang w:eastAsia="zh-CN"/>
                    </w:rPr>
                    <w:t>《</w:t>
                  </w:r>
                  <w:r>
                    <w:rPr>
                      <w:rFonts w:hint="eastAsia"/>
                      <w:szCs w:val="21"/>
                      <w:lang w:val="en-US" w:eastAsia="zh-CN"/>
                    </w:rPr>
                    <w:t>前提方案</w:t>
                  </w:r>
                  <w:r>
                    <w:rPr>
                      <w:rFonts w:hint="eastAsia"/>
                      <w:szCs w:val="21"/>
                      <w:lang w:eastAsia="zh-CN"/>
                    </w:rPr>
                    <w:t>》、《</w:t>
                  </w:r>
                  <w:r>
                    <w:rPr>
                      <w:rFonts w:hint="eastAsia"/>
                      <w:szCs w:val="21"/>
                      <w:lang w:val="en-US" w:eastAsia="zh-CN"/>
                    </w:rPr>
                    <w:t>食品安全管理制度</w:t>
                  </w:r>
                  <w:r>
                    <w:rPr>
                      <w:rFonts w:hint="eastAsia"/>
                      <w:szCs w:val="21"/>
                      <w:lang w:eastAsia="zh-CN"/>
                    </w:rPr>
                    <w:t>》</w:t>
                  </w:r>
                  <w:r>
                    <w:rPr>
                      <w:rFonts w:hint="eastAsia"/>
                      <w:szCs w:val="21"/>
                    </w:rPr>
                    <w:t>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368" w:type="dxa"/>
                </w:tcPr>
                <w:p>
                  <w:pPr>
                    <w:rPr>
                      <w:szCs w:val="21"/>
                    </w:rPr>
                  </w:pPr>
                  <w:r>
                    <w:rPr>
                      <w:rFonts w:hint="eastAsia"/>
                      <w:szCs w:val="21"/>
                    </w:rPr>
                    <w:t>内部审核；对内审不符合项进行分析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rFonts w:hint="eastAsia"/>
                    </w:rPr>
                  </w:pPr>
                  <w:r>
                    <w:rPr>
                      <w:rFonts w:hint="eastAsia"/>
                    </w:rPr>
                    <w:t>ISO22000：2018</w:t>
                  </w:r>
                </w:p>
                <w:p>
                  <w:pPr>
                    <w:pStyle w:val="2"/>
                    <w:rPr>
                      <w:rFonts w:hint="eastAsia" w:eastAsia="宋体"/>
                      <w:lang w:eastAsia="zh-CN"/>
                    </w:rPr>
                  </w:pPr>
                  <w:r>
                    <w:rPr>
                      <w:rFonts w:hint="eastAsia"/>
                      <w:szCs w:val="21"/>
                      <w:lang w:eastAsia="zh-CN"/>
                    </w:rPr>
                    <w:t>《</w:t>
                  </w:r>
                  <w:r>
                    <w:rPr>
                      <w:rFonts w:hint="eastAsia"/>
                      <w:szCs w:val="21"/>
                      <w:lang w:val="en-US" w:eastAsia="zh-CN"/>
                    </w:rPr>
                    <w:t>内审管理程序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368" w:type="dxa"/>
                </w:tcPr>
                <w:p>
                  <w:pPr>
                    <w:rPr>
                      <w:szCs w:val="21"/>
                    </w:rPr>
                  </w:pPr>
                  <w:r>
                    <w:rPr>
                      <w:rFonts w:hint="eastAsia"/>
                      <w:szCs w:val="21"/>
                    </w:rPr>
                    <w:t>管理评审，对FSMS存在的需要问题进行分析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rFonts w:hint="eastAsia"/>
                    </w:rPr>
                  </w:pPr>
                  <w:r>
                    <w:rPr>
                      <w:rFonts w:hint="eastAsia"/>
                    </w:rPr>
                    <w:t>ISO22000：2018</w:t>
                  </w:r>
                </w:p>
                <w:p>
                  <w:pPr>
                    <w:pStyle w:val="8"/>
                    <w:ind w:left="0" w:leftChars="0" w:firstLine="0" w:firstLineChars="0"/>
                    <w:rPr>
                      <w:rFonts w:hint="eastAsia" w:eastAsia="宋体"/>
                      <w:lang w:eastAsia="zh-CN"/>
                    </w:rPr>
                  </w:pPr>
                  <w:r>
                    <w:rPr>
                      <w:rFonts w:hint="eastAsia"/>
                      <w:lang w:eastAsia="zh-CN"/>
                    </w:rPr>
                    <w:t>《</w:t>
                  </w:r>
                  <w:r>
                    <w:rPr>
                      <w:rFonts w:hint="eastAsia"/>
                      <w:lang w:val="en-US" w:eastAsia="zh-CN"/>
                    </w:rPr>
                    <w:t>管理评审程序</w:t>
                  </w:r>
                  <w:r>
                    <w:rPr>
                      <w:rFonts w:hint="eastAsia"/>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368" w:type="dxa"/>
                </w:tcPr>
                <w:p>
                  <w:pPr>
                    <w:rPr>
                      <w:szCs w:val="21"/>
                    </w:rPr>
                  </w:pPr>
                  <w:r>
                    <w:rPr>
                      <w:rFonts w:hint="eastAsia"/>
                      <w:szCs w:val="21"/>
                    </w:rPr>
                    <w:t>反馈处理，对问题进行统计</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97"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5"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内部</w:t>
            </w:r>
            <w:r>
              <w:rPr>
                <w:rFonts w:hint="default"/>
                <w:szCs w:val="20"/>
              </w:rPr>
              <w:t>审核</w:t>
            </w:r>
          </w:p>
        </w:tc>
        <w:tc>
          <w:tcPr>
            <w:tcW w:w="938"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F9.2</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49"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t>：</w:t>
            </w: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第9.2章、</w:t>
            </w:r>
            <w:r>
              <w:rPr>
                <w:rFonts w:hint="default"/>
                <w:color w:val="000000"/>
                <w:szCs w:val="20"/>
              </w:rPr>
              <w:sym w:font="Wingdings" w:char="00FE"/>
            </w:r>
            <w:r>
              <w:rPr>
                <w:rFonts w:hint="eastAsia"/>
                <w:color w:val="000000"/>
                <w:szCs w:val="20"/>
              </w:rPr>
              <w:t>《内部审核程序》</w:t>
            </w:r>
          </w:p>
        </w:tc>
        <w:tc>
          <w:tcPr>
            <w:tcW w:w="1597"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85" w:type="dxa"/>
            <w:vMerge w:val="continue"/>
          </w:tcPr>
          <w:p>
            <w:pPr>
              <w:keepNext w:val="0"/>
              <w:keepLines w:val="0"/>
              <w:suppressLineNumbers w:val="0"/>
              <w:spacing w:before="0" w:beforeAutospacing="0" w:after="0" w:afterAutospacing="0"/>
              <w:ind w:left="0" w:right="0"/>
              <w:rPr>
                <w:rFonts w:hint="default"/>
                <w:szCs w:val="20"/>
              </w:rPr>
            </w:pPr>
          </w:p>
        </w:tc>
        <w:tc>
          <w:tcPr>
            <w:tcW w:w="938"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p>
        </w:tc>
        <w:tc>
          <w:tcPr>
            <w:tcW w:w="9249" w:type="dxa"/>
          </w:tcPr>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21"/>
              </w:rPr>
              <w:t>☑</w:t>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rPr>
              <w:t>20</w:t>
            </w:r>
            <w:r>
              <w:rPr>
                <w:rFonts w:hint="eastAsia"/>
                <w:color w:val="000000"/>
                <w:szCs w:val="18"/>
                <w:u w:val="single"/>
                <w:lang w:val="en-US" w:eastAsia="zh-CN"/>
              </w:rPr>
              <w:t>22</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lang w:val="en-US" w:eastAsia="zh-CN"/>
              </w:rPr>
              <w:t>06</w:t>
            </w:r>
            <w:r>
              <w:rPr>
                <w:rFonts w:hint="eastAsia"/>
                <w:color w:val="000000"/>
                <w:szCs w:val="18"/>
              </w:rPr>
              <w:t>月</w:t>
            </w:r>
            <w:r>
              <w:rPr>
                <w:rFonts w:hint="eastAsia"/>
                <w:color w:val="000000"/>
                <w:szCs w:val="18"/>
                <w:u w:val="single"/>
              </w:rPr>
              <w:t xml:space="preserve"> </w:t>
            </w:r>
            <w:r>
              <w:rPr>
                <w:rFonts w:hint="default"/>
                <w:color w:val="000000"/>
                <w:szCs w:val="18"/>
                <w:u w:val="single"/>
              </w:rPr>
              <w:t xml:space="preserve"> 15</w:t>
            </w:r>
            <w:r>
              <w:rPr>
                <w:rFonts w:hint="eastAsia"/>
                <w:color w:val="000000"/>
                <w:szCs w:val="18"/>
                <w:u w:val="single"/>
                <w:lang w:val="en-US" w:eastAsia="zh-CN"/>
              </w:rPr>
              <w:t>-16</w:t>
            </w:r>
            <w:r>
              <w:rPr>
                <w:rFonts w:hint="default"/>
                <w:color w:val="000000"/>
                <w:szCs w:val="18"/>
                <w:u w:val="single"/>
              </w:rPr>
              <w:t xml:space="preserve">  </w:t>
            </w:r>
            <w:r>
              <w:rPr>
                <w:rFonts w:hint="eastAsia"/>
                <w:color w:val="000000"/>
                <w:szCs w:val="18"/>
              </w:rPr>
              <w:t>日实施了内部审核；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《内审计划》：有</w:t>
            </w:r>
            <w:r>
              <w:rPr>
                <w:rFonts w:hint="eastAsia"/>
                <w:color w:val="000000"/>
                <w:szCs w:val="18"/>
                <w:u w:val="single"/>
              </w:rPr>
              <w:t xml:space="preserve"> </w:t>
            </w:r>
            <w:r>
              <w:rPr>
                <w:rFonts w:hint="default"/>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、食品安全小组、运营管理部</w:t>
            </w:r>
            <w:r>
              <w:rPr>
                <w:rFonts w:hint="eastAsia"/>
                <w:color w:val="000000"/>
                <w:szCs w:val="18"/>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sym w:font="Wingdings 2" w:char="0052"/>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lang w:val="en-US" w:eastAsia="zh-CN"/>
              </w:rPr>
              <w:t>1</w:t>
            </w:r>
            <w:r>
              <w:rPr>
                <w:rFonts w:hint="default"/>
                <w:color w:val="000000"/>
                <w:szCs w:val="18"/>
                <w:u w:val="single"/>
              </w:rPr>
              <w:t xml:space="preserve"> </w:t>
            </w:r>
            <w:r>
              <w:rPr>
                <w:rFonts w:hint="eastAsia"/>
                <w:color w:val="000000"/>
                <w:szCs w:val="18"/>
              </w:rPr>
              <w:t>份；</w:t>
            </w:r>
          </w:p>
          <w:p>
            <w:pPr>
              <w:keepNext w:val="0"/>
              <w:keepLines w:val="0"/>
              <w:suppressLineNumbers w:val="0"/>
              <w:autoSpaceDE w:val="0"/>
              <w:autoSpaceDN w:val="0"/>
              <w:spacing w:before="0" w:beforeAutospacing="0" w:after="0" w:afterAutospacing="0" w:line="500" w:lineRule="atLeast"/>
              <w:ind w:left="0" w:right="0" w:firstLine="330"/>
              <w:rPr>
                <w:rFonts w:hint="default"/>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运营管理部未提供冷藏库冷冻库温度装置校准的记录</w:t>
            </w:r>
            <w:r>
              <w:rPr>
                <w:rFonts w:hint="eastAsia" w:ascii="宋体" w:hAnsi="宋体"/>
                <w:szCs w:val="20"/>
                <w:u w:val="single"/>
              </w:rPr>
              <w:t>；</w:t>
            </w:r>
            <w:r>
              <w:rPr>
                <w:rFonts w:hint="eastAsia" w:ascii="宋体" w:hAnsi="宋体"/>
                <w:szCs w:val="21"/>
                <w:u w:val="single"/>
              </w:rPr>
              <w:t>不符合ISO 22000:2018标准</w:t>
            </w:r>
            <w:r>
              <w:rPr>
                <w:rFonts w:hint="default" w:ascii="宋体" w:hAnsi="宋体"/>
                <w:color w:val="000000"/>
                <w:szCs w:val="24"/>
                <w:u w:val="single"/>
              </w:rPr>
              <w:t>8.</w:t>
            </w:r>
            <w:r>
              <w:rPr>
                <w:rFonts w:hint="eastAsia" w:ascii="宋体" w:hAnsi="宋体"/>
                <w:color w:val="000000"/>
                <w:szCs w:val="24"/>
                <w:u w:val="single"/>
                <w:lang w:val="en-US" w:eastAsia="zh-CN"/>
              </w:rPr>
              <w:t>7条款</w:t>
            </w:r>
            <w:r>
              <w:rPr>
                <w:rFonts w:hint="eastAsia" w:ascii="宋体" w:hAnsi="宋体"/>
                <w:color w:val="000000"/>
                <w:szCs w:val="24"/>
                <w:u w:val="single"/>
              </w:rPr>
              <w:t>;</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eastAsia"/>
                <w:color w:val="000000"/>
                <w:szCs w:val="21"/>
              </w:rPr>
            </w:pP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color w:val="000000"/>
                <w:szCs w:val="21"/>
              </w:rPr>
              <w:t>☑</w:t>
            </w: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eastAsia"/>
                <w:szCs w:val="20"/>
              </w:rPr>
              <w:t xml:space="preserve">体系运行有效  </w:t>
            </w:r>
            <w:r>
              <w:rPr>
                <w:rFonts w:hint="eastAsia"/>
                <w:color w:val="000000"/>
                <w:szCs w:val="21"/>
              </w:rPr>
              <w:t>☑</w:t>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本次现场审核时，上述不符合项的纠正措施的有效性</w:t>
            </w:r>
          </w:p>
          <w:p>
            <w:pPr>
              <w:keepNext w:val="0"/>
              <w:keepLines w:val="0"/>
              <w:suppressLineNumbers w:val="0"/>
              <w:spacing w:before="0" w:beforeAutospacing="0" w:after="0" w:afterAutospacing="0"/>
              <w:ind w:left="0" w:right="0"/>
              <w:rPr>
                <w:rFonts w:hint="default"/>
                <w:szCs w:val="20"/>
              </w:rPr>
            </w:pPr>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7" w:type="dxa"/>
            <w:vMerge w:val="continue"/>
            <w:tcBorders/>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5" w:type="dxa"/>
            <w:vMerge w:val="restart"/>
          </w:tcPr>
          <w:p>
            <w:r>
              <w:rPr>
                <w:rFonts w:hint="eastAsia"/>
              </w:rPr>
              <w:t>管理评审</w:t>
            </w:r>
          </w:p>
          <w:p/>
        </w:tc>
        <w:tc>
          <w:tcPr>
            <w:tcW w:w="938" w:type="dxa"/>
            <w:vMerge w:val="restart"/>
          </w:tcPr>
          <w:p>
            <w:r>
              <w:rPr>
                <w:rFonts w:hint="eastAsia"/>
              </w:rPr>
              <w:t>F9.3</w:t>
            </w:r>
          </w:p>
        </w:tc>
        <w:tc>
          <w:tcPr>
            <w:tcW w:w="745" w:type="dxa"/>
          </w:tcPr>
          <w:p>
            <w:r>
              <w:rPr>
                <w:rFonts w:hint="eastAsia"/>
              </w:rPr>
              <w:t>文件名称</w:t>
            </w:r>
          </w:p>
        </w:tc>
        <w:tc>
          <w:tcPr>
            <w:tcW w:w="9249" w:type="dxa"/>
          </w:tcPr>
          <w:p>
            <w:r>
              <w:rPr>
                <w:rFonts w:hint="eastAsia"/>
              </w:rPr>
              <w:t>如：</w:t>
            </w:r>
            <w:r>
              <w:rPr>
                <w:rFonts w:hint="eastAsia"/>
              </w:rPr>
              <w:sym w:font="Wingdings" w:char="00FE"/>
            </w:r>
            <w:r>
              <w:rPr>
                <w:rFonts w:hint="eastAsia"/>
              </w:rPr>
              <w:t xml:space="preserve">《管理评审控制程序》 </w:t>
            </w:r>
          </w:p>
        </w:tc>
        <w:tc>
          <w:tcPr>
            <w:tcW w:w="159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85" w:type="dxa"/>
            <w:vMerge w:val="continue"/>
          </w:tcPr>
          <w:p/>
        </w:tc>
        <w:tc>
          <w:tcPr>
            <w:tcW w:w="938" w:type="dxa"/>
            <w:vMerge w:val="continue"/>
          </w:tcPr>
          <w:p/>
        </w:tc>
        <w:tc>
          <w:tcPr>
            <w:tcW w:w="745" w:type="dxa"/>
          </w:tcPr>
          <w:p>
            <w:pPr>
              <w:widowControl/>
              <w:spacing w:before="40"/>
              <w:jc w:val="left"/>
              <w:rPr>
                <w:color w:val="000000"/>
                <w:szCs w:val="18"/>
              </w:rPr>
            </w:pPr>
          </w:p>
          <w:p>
            <w:r>
              <w:rPr>
                <w:rFonts w:hint="eastAsia"/>
              </w:rPr>
              <w:t>运行证据</w:t>
            </w:r>
          </w:p>
        </w:tc>
        <w:tc>
          <w:tcPr>
            <w:tcW w:w="924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2</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2"/>
              <w:gridCol w:w="1967"/>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2" w:type="dxa"/>
                </w:tcPr>
                <w:p>
                  <w:pPr>
                    <w:widowControl/>
                    <w:spacing w:before="40"/>
                    <w:jc w:val="left"/>
                    <w:rPr>
                      <w:color w:val="000000"/>
                      <w:szCs w:val="21"/>
                    </w:rPr>
                  </w:pPr>
                  <w:r>
                    <w:rPr>
                      <w:rFonts w:hint="eastAsia"/>
                      <w:color w:val="000000"/>
                      <w:szCs w:val="21"/>
                    </w:rPr>
                    <w:t>管理评审输入信息</w:t>
                  </w:r>
                </w:p>
              </w:tc>
              <w:tc>
                <w:tcPr>
                  <w:tcW w:w="1967" w:type="dxa"/>
                </w:tcPr>
                <w:p>
                  <w:pPr>
                    <w:widowControl/>
                    <w:spacing w:before="40"/>
                    <w:jc w:val="left"/>
                    <w:rPr>
                      <w:color w:val="000000"/>
                      <w:szCs w:val="21"/>
                    </w:rPr>
                  </w:pPr>
                  <w:r>
                    <w:rPr>
                      <w:rFonts w:hint="eastAsia"/>
                      <w:color w:val="000000"/>
                      <w:szCs w:val="21"/>
                    </w:rPr>
                    <w:t>评价</w:t>
                  </w:r>
                </w:p>
              </w:tc>
              <w:tc>
                <w:tcPr>
                  <w:tcW w:w="2294"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967" w:type="dxa"/>
                </w:tcPr>
                <w:p>
                  <w:pPr>
                    <w:widowControl/>
                    <w:spacing w:before="40"/>
                    <w:jc w:val="left"/>
                    <w:rPr>
                      <w:color w:val="000000"/>
                      <w:szCs w:val="21"/>
                    </w:rPr>
                  </w:pPr>
                  <w:r>
                    <w:rPr>
                      <w:rFonts w:hint="eastAsia"/>
                      <w:color w:val="000000"/>
                      <w:szCs w:val="21"/>
                    </w:rPr>
                    <w:sym w:font="Wingdings 2" w:char="00A3"/>
                  </w: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r>
                    <w:rPr>
                      <w:rFonts w:hint="eastAsia"/>
                      <w:color w:val="000000"/>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2"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实现食品安全管理体系目标的程度</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2" w:type="dxa"/>
                </w:tcPr>
                <w:p>
                  <w:pPr>
                    <w:widowControl/>
                    <w:spacing w:before="40"/>
                    <w:jc w:val="left"/>
                  </w:pPr>
                  <w:r>
                    <w:rPr>
                      <w:rFonts w:hint="eastAsia"/>
                      <w:color w:val="000000"/>
                      <w:szCs w:val="21"/>
                    </w:rPr>
                    <w:t>☑</w:t>
                  </w:r>
                  <w:r>
                    <w:rPr>
                      <w:rFonts w:hint="eastAsia"/>
                    </w:rPr>
                    <w:t>资源的充分性</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为应对风险和机遇所采取措施的有效性</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color w:val="000000"/>
                      <w:szCs w:val="21"/>
                    </w:rPr>
                  </w:pPr>
                  <w:r>
                    <w:rPr>
                      <w:rFonts w:hint="eastAsia"/>
                      <w:color w:val="000000"/>
                      <w:szCs w:val="21"/>
                      <w:lang w:val="en-US" w:eastAsia="zh-CN"/>
                    </w:rPr>
                    <w:t>提高全体人员对食品安全标准要求的理解程度，</w:t>
                  </w:r>
                  <w:r>
                    <w:rPr>
                      <w:rFonts w:hint="eastAsia"/>
                      <w:color w:val="000000"/>
                      <w:szCs w:val="21"/>
                    </w:rPr>
                    <w:t>整改期限：2022.0</w:t>
                  </w:r>
                  <w:r>
                    <w:rPr>
                      <w:rFonts w:hint="eastAsia"/>
                      <w:color w:val="000000"/>
                      <w:szCs w:val="21"/>
                      <w:lang w:val="en-US" w:eastAsia="zh-CN"/>
                    </w:rPr>
                    <w:t>8</w:t>
                  </w:r>
                  <w:r>
                    <w:rPr>
                      <w:rFonts w:hint="eastAsia"/>
                      <w:color w:val="000000"/>
                      <w:szCs w:val="21"/>
                    </w:rPr>
                    <w:t>月底前；</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计划2022年8月底前完成</w:t>
            </w:r>
            <w:r>
              <w:rPr>
                <w:rFonts w:hint="eastAsia"/>
                <w:u w:val="single"/>
              </w:rPr>
              <w:t xml:space="preserve">               </w:t>
            </w:r>
          </w:p>
        </w:tc>
        <w:tc>
          <w:tcPr>
            <w:tcW w:w="15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不符合</w:t>
            </w:r>
            <w:r>
              <w:rPr>
                <w:rFonts w:hint="default"/>
                <w:szCs w:val="20"/>
              </w:rPr>
              <w:t>和</w:t>
            </w:r>
            <w:r>
              <w:rPr>
                <w:rFonts w:hint="eastAsia"/>
                <w:szCs w:val="20"/>
              </w:rPr>
              <w:t>纠</w:t>
            </w:r>
            <w:r>
              <w:rPr>
                <w:rFonts w:hint="default"/>
                <w:szCs w:val="20"/>
              </w:rPr>
              <w:t>正措施</w:t>
            </w:r>
          </w:p>
        </w:tc>
        <w:tc>
          <w:tcPr>
            <w:tcW w:w="938"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w:t>
            </w:r>
            <w:r>
              <w:rPr>
                <w:rFonts w:hint="default"/>
                <w:szCs w:val="20"/>
              </w:rPr>
              <w:t>0</w:t>
            </w:r>
            <w:r>
              <w:rPr>
                <w:rFonts w:hint="eastAsia"/>
                <w:szCs w:val="20"/>
              </w:rPr>
              <w:t>.1</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49" w:type="dxa"/>
          </w:tcPr>
          <w:p>
            <w:pPr>
              <w:keepNext w:val="0"/>
              <w:keepLines w:val="0"/>
              <w:suppressLineNumbers w:val="0"/>
              <w:spacing w:before="0" w:beforeAutospacing="0" w:after="0" w:afterAutospacing="0"/>
              <w:ind w:left="0" w:right="0"/>
              <w:rPr>
                <w:rFonts w:hint="default"/>
                <w:szCs w:val="20"/>
              </w:rPr>
            </w:pP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第10.1章、</w:t>
            </w:r>
            <w:r>
              <w:rPr>
                <w:rFonts w:hint="default"/>
                <w:color w:val="000000"/>
                <w:szCs w:val="20"/>
              </w:rPr>
              <w:sym w:font="Wingdings" w:char="00FE"/>
            </w:r>
            <w:r>
              <w:rPr>
                <w:rFonts w:hint="eastAsia"/>
                <w:szCs w:val="20"/>
              </w:rPr>
              <w:t>《不合格品控制程序》、</w:t>
            </w:r>
            <w:r>
              <w:rPr>
                <w:rFonts w:hint="default"/>
                <w:color w:val="000000"/>
                <w:szCs w:val="20"/>
              </w:rPr>
              <w:sym w:font="Wingdings" w:char="00FE"/>
            </w:r>
            <w:r>
              <w:rPr>
                <w:rFonts w:hint="eastAsia"/>
                <w:color w:val="000000"/>
                <w:szCs w:val="20"/>
              </w:rPr>
              <w:t>《纠正和改进措施控制程序》</w:t>
            </w:r>
          </w:p>
        </w:tc>
        <w:tc>
          <w:tcPr>
            <w:tcW w:w="1597"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85" w:type="dxa"/>
            <w:vMerge w:val="continue"/>
          </w:tcPr>
          <w:p>
            <w:pPr>
              <w:keepNext w:val="0"/>
              <w:keepLines w:val="0"/>
              <w:suppressLineNumbers w:val="0"/>
              <w:spacing w:before="0" w:beforeAutospacing="0" w:after="0" w:afterAutospacing="0"/>
              <w:ind w:left="0" w:right="0"/>
              <w:rPr>
                <w:rFonts w:hint="default"/>
                <w:szCs w:val="20"/>
              </w:rPr>
            </w:pPr>
          </w:p>
        </w:tc>
        <w:tc>
          <w:tcPr>
            <w:tcW w:w="938"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p>
        </w:tc>
        <w:tc>
          <w:tcPr>
            <w:tcW w:w="9249" w:type="dxa"/>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A8"/>
            </w:r>
            <w:r>
              <w:rPr>
                <w:rFonts w:hint="eastAsia"/>
                <w:szCs w:val="20"/>
              </w:rPr>
              <w:t xml:space="preserve">内审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color w:val="0000FF"/>
                <w:szCs w:val="20"/>
                <w:u w:val="single"/>
              </w:rPr>
              <w:t>《</w:t>
            </w:r>
            <w:r>
              <w:rPr>
                <w:rFonts w:hint="eastAsia"/>
                <w:color w:val="0000FF"/>
                <w:szCs w:val="20"/>
                <w:u w:val="single"/>
                <w:lang w:eastAsia="zh-CN"/>
              </w:rPr>
              <w:t>——</w:t>
            </w:r>
            <w:r>
              <w:rPr>
                <w:rFonts w:hint="eastAsia"/>
                <w:color w:val="0000FF"/>
                <w:szCs w:val="20"/>
                <w:u w:val="single"/>
                <w:lang w:val="en-US" w:eastAsia="zh-CN"/>
              </w:rPr>
              <w:t>审核周期内未发生</w:t>
            </w:r>
            <w:r>
              <w:rPr>
                <w:rFonts w:hint="eastAsia"/>
                <w:color w:val="0000FF"/>
                <w:szCs w:val="20"/>
                <w:u w:val="single"/>
              </w:rPr>
              <w:t>》</w:t>
            </w:r>
            <w:r>
              <w:rPr>
                <w:rFonts w:hint="default"/>
                <w:color w:val="0000FF"/>
                <w:szCs w:val="20"/>
                <w:u w:val="single"/>
              </w:rPr>
              <w:t xml:space="preserve"> </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2033"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2552"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1559"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13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1559" w:type="dxa"/>
                </w:tcPr>
                <w:p>
                  <w:pPr>
                    <w:keepNext w:val="0"/>
                    <w:keepLines w:val="0"/>
                    <w:suppressLineNumbers w:val="0"/>
                    <w:spacing w:before="0" w:beforeAutospacing="0" w:after="0" w:afterAutospacing="0"/>
                    <w:ind w:left="0" w:right="0"/>
                    <w:rPr>
                      <w:rFonts w:hint="default" w:ascii="宋体" w:hAnsi="宋体"/>
                      <w:szCs w:val="21"/>
                    </w:rPr>
                  </w:pPr>
                </w:p>
              </w:tc>
              <w:tc>
                <w:tcPr>
                  <w:tcW w:w="1134" w:type="dxa"/>
                </w:tcPr>
                <w:p>
                  <w:pPr>
                    <w:keepNext w:val="0"/>
                    <w:keepLines w:val="0"/>
                    <w:suppressLineNumbers w:val="0"/>
                    <w:spacing w:before="0" w:beforeAutospacing="0" w:after="0" w:afterAutospacing="0"/>
                    <w:ind w:left="0" w:right="0"/>
                    <w:rPr>
                      <w:rFonts w:hint="default" w:ascii="宋体" w:hAnsi="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spacing w:before="0" w:beforeAutospacing="0" w:after="0" w:afterAutospacing="0" w:line="500" w:lineRule="atLeast"/>
                    <w:ind w:left="0" w:right="0"/>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720" w:right="-27"/>
                    <w:jc w:val="left"/>
                    <w:textAlignment w:val="baseline"/>
                    <w:rPr>
                      <w:rFonts w:hint="default" w:ascii="宋体" w:hAnsi="宋体"/>
                      <w:color w:val="000000"/>
                      <w:szCs w:val="21"/>
                    </w:rPr>
                  </w:pPr>
                </w:p>
              </w:tc>
              <w:tc>
                <w:tcPr>
                  <w:tcW w:w="1559" w:type="dxa"/>
                </w:tcPr>
                <w:p>
                  <w:pPr>
                    <w:keepNext w:val="0"/>
                    <w:keepLines w:val="0"/>
                    <w:suppressLineNumbers w:val="0"/>
                    <w:spacing w:before="0" w:beforeAutospacing="0" w:after="0" w:afterAutospacing="0"/>
                    <w:ind w:left="0" w:right="0"/>
                    <w:rPr>
                      <w:rFonts w:hint="default" w:ascii="宋体" w:hAnsi="宋体"/>
                      <w:color w:val="000000"/>
                      <w:szCs w:val="21"/>
                    </w:rPr>
                  </w:pPr>
                </w:p>
              </w:tc>
              <w:tc>
                <w:tcPr>
                  <w:tcW w:w="1134" w:type="dxa"/>
                </w:tcPr>
                <w:p>
                  <w:pPr>
                    <w:keepNext w:val="0"/>
                    <w:keepLines w:val="0"/>
                    <w:suppressLineNumbers w:val="0"/>
                    <w:spacing w:before="0" w:beforeAutospacing="0" w:after="0" w:afterAutospacing="0"/>
                    <w:ind w:left="0" w:right="0"/>
                    <w:rPr>
                      <w:rFonts w:hint="default" w:ascii="宋体" w:hAnsi="宋体" w:cs="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default"/>
                <w:szCs w:val="20"/>
              </w:rPr>
            </w:pPr>
          </w:p>
        </w:tc>
        <w:tc>
          <w:tcPr>
            <w:tcW w:w="159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vMerge w:val="restart"/>
          </w:tcPr>
          <w:p>
            <w:r>
              <w:rPr>
                <w:rFonts w:hint="eastAsia"/>
              </w:rPr>
              <w:t>持续改进</w:t>
            </w:r>
          </w:p>
        </w:tc>
        <w:tc>
          <w:tcPr>
            <w:tcW w:w="938" w:type="dxa"/>
            <w:vMerge w:val="restart"/>
          </w:tcPr>
          <w:p>
            <w:r>
              <w:rPr>
                <w:rFonts w:hint="eastAsia"/>
              </w:rPr>
              <w:t>F10.2</w:t>
            </w:r>
          </w:p>
        </w:tc>
        <w:tc>
          <w:tcPr>
            <w:tcW w:w="745" w:type="dxa"/>
          </w:tcPr>
          <w:p>
            <w:r>
              <w:rPr>
                <w:rFonts w:hint="eastAsia"/>
              </w:rPr>
              <w:t>文件名称</w:t>
            </w:r>
          </w:p>
        </w:tc>
        <w:tc>
          <w:tcPr>
            <w:tcW w:w="9249" w:type="dxa"/>
          </w:tcPr>
          <w:p>
            <w:r>
              <w:rPr>
                <w:rFonts w:hint="eastAsia"/>
              </w:rPr>
              <w:t>如：</w:t>
            </w:r>
            <w:r>
              <w:rPr>
                <w:rFonts w:hint="eastAsia"/>
              </w:rPr>
              <w:sym w:font="Wingdings" w:char="00FE"/>
            </w:r>
            <w:r>
              <w:rPr>
                <w:rFonts w:hint="eastAsia"/>
              </w:rPr>
              <w:t>管理手册10.2条款</w:t>
            </w:r>
          </w:p>
        </w:tc>
        <w:tc>
          <w:tcPr>
            <w:tcW w:w="159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5" w:type="dxa"/>
            <w:vMerge w:val="continue"/>
          </w:tcPr>
          <w:p/>
        </w:tc>
        <w:tc>
          <w:tcPr>
            <w:tcW w:w="938" w:type="dxa"/>
            <w:vMerge w:val="continue"/>
          </w:tcPr>
          <w:p/>
        </w:tc>
        <w:tc>
          <w:tcPr>
            <w:tcW w:w="745" w:type="dxa"/>
          </w:tcPr>
          <w:p>
            <w:r>
              <w:rPr>
                <w:rFonts w:hint="eastAsia"/>
              </w:rPr>
              <w:t>运行证据</w:t>
            </w:r>
          </w:p>
        </w:tc>
        <w:tc>
          <w:tcPr>
            <w:tcW w:w="9249"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8"/>
            </w:pPr>
          </w:p>
          <w:p>
            <w:r>
              <w:rPr>
                <w:rFonts w:hint="eastAsia"/>
              </w:rPr>
              <w:sym w:font="Wingdings" w:char="00A8"/>
            </w:r>
            <w:r>
              <w:rPr>
                <w:rFonts w:hint="eastAsia"/>
              </w:rPr>
              <w:t xml:space="preserve"> 改进措施已落实</w:t>
            </w:r>
          </w:p>
          <w:p>
            <w:r>
              <w:rPr>
                <w:rFonts w:hint="eastAsia"/>
              </w:rPr>
              <w:sym w:font="Wingdings" w:char="00FE"/>
            </w:r>
            <w:r>
              <w:rPr>
                <w:rFonts w:hint="eastAsia"/>
              </w:rPr>
              <w:t xml:space="preserve"> 改进措施未落实的原因：</w:t>
            </w:r>
            <w:r>
              <w:rPr>
                <w:rFonts w:hint="eastAsia"/>
                <w:u w:val="single"/>
              </w:rPr>
              <w:t xml:space="preserve">    </w:t>
            </w:r>
            <w:r>
              <w:rPr>
                <w:rFonts w:hint="eastAsia"/>
                <w:u w:val="single"/>
                <w:lang w:val="en-US" w:eastAsia="zh-CN"/>
              </w:rPr>
              <w:t>计划2022年8月底前完成</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vMerge w:val="restart"/>
          </w:tcPr>
          <w:p>
            <w:pPr>
              <w:rPr>
                <w:rFonts w:hint="eastAsia"/>
              </w:rPr>
            </w:pPr>
            <w:r>
              <w:rPr>
                <w:rFonts w:hint="eastAsia"/>
              </w:rPr>
              <w:t>食品安全管理体系的更新</w:t>
            </w:r>
          </w:p>
          <w:p/>
          <w:p/>
        </w:tc>
        <w:tc>
          <w:tcPr>
            <w:tcW w:w="938" w:type="dxa"/>
            <w:vMerge w:val="restart"/>
          </w:tcPr>
          <w:p>
            <w:r>
              <w:rPr>
                <w:rFonts w:hint="eastAsia"/>
              </w:rPr>
              <w:t>F10.3</w:t>
            </w:r>
          </w:p>
        </w:tc>
        <w:tc>
          <w:tcPr>
            <w:tcW w:w="745" w:type="dxa"/>
          </w:tcPr>
          <w:p>
            <w:r>
              <w:rPr>
                <w:rFonts w:hint="eastAsia"/>
              </w:rPr>
              <w:t>文件名称</w:t>
            </w:r>
          </w:p>
        </w:tc>
        <w:tc>
          <w:tcPr>
            <w:tcW w:w="9249" w:type="dxa"/>
          </w:tcPr>
          <w:p>
            <w:r>
              <w:rPr>
                <w:rFonts w:hint="eastAsia"/>
              </w:rPr>
              <w:t>如：</w:t>
            </w:r>
            <w:r>
              <w:rPr>
                <w:rFonts w:hint="eastAsia"/>
              </w:rPr>
              <w:sym w:font="Wingdings" w:char="00FE"/>
            </w:r>
            <w:r>
              <w:rPr>
                <w:rFonts w:hint="eastAsia"/>
              </w:rPr>
              <w:t>管理手册10.3条款</w:t>
            </w:r>
          </w:p>
        </w:tc>
        <w:tc>
          <w:tcPr>
            <w:tcW w:w="159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85" w:type="dxa"/>
            <w:vMerge w:val="continue"/>
            <w:tcBorders/>
          </w:tcPr>
          <w:p/>
        </w:tc>
        <w:tc>
          <w:tcPr>
            <w:tcW w:w="938" w:type="dxa"/>
            <w:vMerge w:val="continue"/>
            <w:tcBorders/>
          </w:tcPr>
          <w:p/>
        </w:tc>
        <w:tc>
          <w:tcPr>
            <w:tcW w:w="745" w:type="dxa"/>
          </w:tcPr>
          <w:p>
            <w:r>
              <w:rPr>
                <w:rFonts w:hint="eastAsia"/>
              </w:rPr>
              <w:t>运行证据</w:t>
            </w:r>
          </w:p>
        </w:tc>
        <w:tc>
          <w:tcPr>
            <w:tcW w:w="9249"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审核周期内</w:t>
            </w:r>
            <w:r>
              <w:rPr>
                <w:rFonts w:hint="eastAsia"/>
                <w:u w:val="single"/>
              </w:rPr>
              <w:t xml:space="preserve">未发生     </w:t>
            </w:r>
            <w:r>
              <w:rPr>
                <w:rFonts w:hint="eastAsia"/>
              </w:rPr>
              <w:t xml:space="preserve"> </w:t>
            </w:r>
            <w:r>
              <w:t>，作为输入报告给管理评审。</w:t>
            </w:r>
          </w:p>
          <w:p/>
        </w:tc>
        <w:tc>
          <w:tcPr>
            <w:tcW w:w="1597" w:type="dxa"/>
            <w:vMerge w:val="continue"/>
          </w:tcPr>
          <w:p/>
        </w:tc>
      </w:tr>
    </w:tbl>
    <w:p/>
    <w:p>
      <w:pPr>
        <w:pStyle w:val="6"/>
      </w:pPr>
      <w:r>
        <w:rPr>
          <w:rFonts w:hint="eastAsia"/>
        </w:rPr>
        <w:t>说明：不符合标注N</w:t>
      </w:r>
    </w:p>
    <w:bookmarkEnd w:id="1"/>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-55245</wp:posOffset>
          </wp:positionH>
          <wp:positionV relativeFrom="paragraph">
            <wp:posOffset>-41275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EE17838D"/>
    <w:multiLevelType w:val="singleLevel"/>
    <w:tmpl w:val="EE17838D"/>
    <w:lvl w:ilvl="0" w:tentative="0">
      <w:start w:val="1"/>
      <w:numFmt w:val="decimal"/>
      <w:suff w:val="nothing"/>
      <w:lvlText w:val="%1）"/>
      <w:lvlJc w:val="left"/>
    </w:lvl>
  </w:abstractNum>
  <w:abstractNum w:abstractNumId="2">
    <w:nsid w:val="F28BE119"/>
    <w:multiLevelType w:val="singleLevel"/>
    <w:tmpl w:val="F28BE119"/>
    <w:lvl w:ilvl="0" w:tentative="0">
      <w:start w:val="1"/>
      <w:numFmt w:val="decimal"/>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5E996AF4"/>
    <w:multiLevelType w:val="singleLevel"/>
    <w:tmpl w:val="5E996AF4"/>
    <w:lvl w:ilvl="0" w:tentative="0">
      <w:start w:val="3"/>
      <w:numFmt w:val="decimal"/>
      <w:suff w:val="space"/>
      <w:lvlText w:val="%1)"/>
      <w:lvlJc w:val="left"/>
    </w:lvl>
  </w:abstractNum>
  <w:abstractNum w:abstractNumId="5">
    <w:nsid w:val="6545CF80"/>
    <w:multiLevelType w:val="singleLevel"/>
    <w:tmpl w:val="6545CF80"/>
    <w:lvl w:ilvl="0" w:tentative="0">
      <w:start w:val="1"/>
      <w:numFmt w:val="decimal"/>
      <w:suff w:val="nothing"/>
      <w:lvlText w:val="%1）"/>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A2D7F"/>
    <w:rsid w:val="001A336D"/>
    <w:rsid w:val="001F1502"/>
    <w:rsid w:val="00203518"/>
    <w:rsid w:val="0023692C"/>
    <w:rsid w:val="002805E0"/>
    <w:rsid w:val="002822F1"/>
    <w:rsid w:val="002939AD"/>
    <w:rsid w:val="002A7D96"/>
    <w:rsid w:val="002E061E"/>
    <w:rsid w:val="002E5925"/>
    <w:rsid w:val="00304BD2"/>
    <w:rsid w:val="00314AF6"/>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E753A"/>
    <w:rsid w:val="005203B8"/>
    <w:rsid w:val="00531A59"/>
    <w:rsid w:val="00536930"/>
    <w:rsid w:val="00542263"/>
    <w:rsid w:val="00564E53"/>
    <w:rsid w:val="00571451"/>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90032F"/>
    <w:rsid w:val="00910EB7"/>
    <w:rsid w:val="00920906"/>
    <w:rsid w:val="00923731"/>
    <w:rsid w:val="009315A7"/>
    <w:rsid w:val="009344FA"/>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F0AAB"/>
    <w:rsid w:val="00B50FD7"/>
    <w:rsid w:val="00B646E3"/>
    <w:rsid w:val="00B64A32"/>
    <w:rsid w:val="00B801A2"/>
    <w:rsid w:val="00B82D4A"/>
    <w:rsid w:val="00B93797"/>
    <w:rsid w:val="00BA5DC8"/>
    <w:rsid w:val="00BB07DF"/>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616A9"/>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AC5760"/>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756700"/>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1B33A0"/>
    <w:rsid w:val="70607590"/>
    <w:rsid w:val="70795456"/>
    <w:rsid w:val="709946EC"/>
    <w:rsid w:val="70B04FD5"/>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7005</Words>
  <Characters>7479</Characters>
  <Lines>74</Lines>
  <Paragraphs>21</Paragraphs>
  <TotalTime>1</TotalTime>
  <ScaleCrop>false</ScaleCrop>
  <LinksUpToDate>false</LinksUpToDate>
  <CharactersWithSpaces>8651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2022-07-23T03:06:13Z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49BECC4BCA164B81BE870CF712344446</vt:lpwstr>
  </property>
</Properties>
</file>