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0528-2022-F</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浙江中田农业科技有限公司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2022年07月22日 上午</w:t>
            </w:r>
            <w:r>
              <w:rPr>
                <w:rFonts w:hint="eastAsia" w:ascii="宋体"/>
                <w:b/>
                <w:color w:val="000000"/>
                <w:szCs w:val="21"/>
                <w:lang w:val="en-US" w:eastAsia="zh-CN"/>
              </w:rPr>
              <w:t>8:30</w:t>
            </w:r>
            <w:r>
              <w:rPr>
                <w:rFonts w:hint="eastAsia" w:ascii="宋体"/>
                <w:b/>
                <w:color w:val="000000"/>
                <w:szCs w:val="21"/>
              </w:rPr>
              <w:t>至2022年07月22日 上午</w:t>
            </w:r>
            <w:bookmarkEnd w:id="8"/>
            <w:r>
              <w:rPr>
                <w:rFonts w:hint="eastAsia" w:ascii="宋体"/>
                <w:b/>
                <w:color w:val="000000"/>
                <w:szCs w:val="21"/>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3"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ISO 22000</w:t>
            </w:r>
            <w:r>
              <w:rPr>
                <w:rFonts w:hint="eastAsia" w:ascii="宋体" w:hAnsi="宋体"/>
                <w:b/>
                <w:color w:val="000000"/>
                <w:szCs w:val="21"/>
                <w:lang w:val="de-DE" w:eastAsia="zh-CN"/>
              </w:rPr>
              <w:t>：</w:t>
            </w:r>
            <w:r>
              <w:rPr>
                <w:rFonts w:hint="eastAsia" w:ascii="宋体" w:hAnsi="宋体"/>
                <w:b/>
                <w:color w:val="000000"/>
                <w:szCs w:val="21"/>
                <w:lang w:val="de-DE"/>
              </w:rPr>
              <w:t xml:space="preserve">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eastAsia="宋体"/>
                <w:b/>
                <w:color w:val="0000FF"/>
                <w:szCs w:val="21"/>
                <w:lang w:val="en-US" w:eastAsia="zh-CN"/>
              </w:rPr>
            </w:pPr>
            <w:r>
              <w:rPr>
                <w:rFonts w:hint="eastAsia" w:ascii="宋体"/>
                <w:b/>
                <w:color w:val="0000FF"/>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u w:val="single"/>
              </w:rPr>
            </w:pPr>
            <w:r>
              <w:rPr>
                <w:rFonts w:hint="eastAsia" w:ascii="宋体"/>
                <w:b/>
                <w:strike/>
                <w:dstrike w:val="0"/>
                <w:color w:val="0000FF"/>
                <w:szCs w:val="21"/>
                <w:u w:val="single"/>
              </w:rPr>
              <w:t>远程审核方式</w:t>
            </w:r>
          </w:p>
        </w:tc>
        <w:tc>
          <w:tcPr>
            <w:tcW w:w="7431" w:type="dxa"/>
            <w:tcMar>
              <w:left w:w="113" w:type="dxa"/>
            </w:tcMar>
            <w:vAlign w:val="bottom"/>
          </w:tcPr>
          <w:p>
            <w:pPr>
              <w:rPr>
                <w:rFonts w:ascii="宋体"/>
                <w:b/>
                <w:strike/>
                <w:dstrike w:val="0"/>
                <w:color w:val="0000FF"/>
                <w:szCs w:val="21"/>
                <w:u w:val="single"/>
              </w:rPr>
            </w:pPr>
            <w:r>
              <w:rPr>
                <w:rFonts w:hint="eastAsia" w:ascii="宋体"/>
                <w:b/>
                <w:strike/>
                <w:dstrike w:val="0"/>
                <w:color w:val="0000FF"/>
                <w:szCs w:val="21"/>
                <w:u w:val="single"/>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u w:val="single"/>
              </w:rPr>
            </w:pPr>
            <w:r>
              <w:rPr>
                <w:rFonts w:hint="eastAsia" w:ascii="宋体"/>
                <w:b/>
                <w:strike/>
                <w:dstrike w:val="0"/>
                <w:color w:val="0000FF"/>
                <w:szCs w:val="21"/>
                <w:u w:val="single"/>
              </w:rPr>
              <w:t>信息安全的控制</w:t>
            </w:r>
          </w:p>
        </w:tc>
        <w:tc>
          <w:tcPr>
            <w:tcW w:w="7431" w:type="dxa"/>
            <w:tcMar>
              <w:left w:w="113" w:type="dxa"/>
            </w:tcMar>
            <w:vAlign w:val="bottom"/>
          </w:tcPr>
          <w:p>
            <w:pPr>
              <w:rPr>
                <w:rFonts w:ascii="宋体"/>
                <w:b/>
                <w:strike/>
                <w:dstrike w:val="0"/>
                <w:color w:val="0000FF"/>
                <w:szCs w:val="21"/>
                <w:u w:val="single"/>
              </w:rPr>
            </w:pPr>
            <w:r>
              <w:rPr>
                <w:rFonts w:hint="eastAsia" w:ascii="宋体"/>
                <w:b/>
                <w:strike/>
                <w:dstrike w:val="0"/>
                <w:color w:val="0000FF"/>
                <w:szCs w:val="21"/>
                <w:u w:val="single"/>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strike/>
                <w:dstrike w:val="0"/>
                <w:color w:val="0000FF"/>
                <w:szCs w:val="21"/>
                <w:u w:val="single"/>
              </w:rPr>
            </w:pPr>
            <w:r>
              <w:rPr>
                <w:rFonts w:hint="eastAsia" w:ascii="宋体"/>
                <w:b/>
                <w:strike/>
                <w:dstrike w:val="0"/>
                <w:color w:val="0000FF"/>
                <w:szCs w:val="21"/>
                <w:u w:val="single"/>
              </w:rPr>
              <w:t>远程审核资源</w:t>
            </w:r>
          </w:p>
        </w:tc>
        <w:tc>
          <w:tcPr>
            <w:tcW w:w="7431" w:type="dxa"/>
            <w:tcMar>
              <w:left w:w="113" w:type="dxa"/>
            </w:tcMar>
            <w:vAlign w:val="bottom"/>
          </w:tcPr>
          <w:p>
            <w:pPr>
              <w:rPr>
                <w:rFonts w:ascii="宋体"/>
                <w:b/>
                <w:strike/>
                <w:dstrike w:val="0"/>
                <w:color w:val="0000FF"/>
                <w:szCs w:val="21"/>
                <w:u w:val="single"/>
              </w:rPr>
            </w:pPr>
            <w:r>
              <w:rPr>
                <w:rFonts w:hint="eastAsia" w:ascii="宋体"/>
                <w:b/>
                <w:strike/>
                <w:dstrike w:val="0"/>
                <w:color w:val="0000FF"/>
                <w:szCs w:val="21"/>
                <w:u w:val="single"/>
              </w:rPr>
              <w:t>□网络□智能手机□手持设备□笔记本电脑□台式电脑□无人机□摄像机□可穿戴技术□人工智能□其他</w:t>
            </w:r>
          </w:p>
          <w:p>
            <w:pPr>
              <w:rPr>
                <w:rFonts w:ascii="宋体"/>
                <w:b/>
                <w:strike/>
                <w:dstrike w:val="0"/>
                <w:color w:val="0000FF"/>
                <w:szCs w:val="21"/>
                <w:u w:val="single"/>
              </w:rPr>
            </w:pPr>
          </w:p>
          <w:p>
            <w:pPr>
              <w:rPr>
                <w:rFonts w:ascii="宋体"/>
                <w:b/>
                <w:strike/>
                <w:dstrike w:val="0"/>
                <w:color w:val="0000FF"/>
                <w:szCs w:val="21"/>
                <w:u w:val="single"/>
              </w:rPr>
            </w:pPr>
          </w:p>
          <w:p>
            <w:pPr>
              <w:rPr>
                <w:rFonts w:ascii="宋体"/>
                <w:b/>
                <w:strike/>
                <w:dstrike w:val="0"/>
                <w:color w:val="0000FF"/>
                <w:szCs w:val="21"/>
                <w:u w:val="single"/>
              </w:rPr>
            </w:pPr>
          </w:p>
          <w:p>
            <w:pPr>
              <w:rPr>
                <w:rFonts w:ascii="宋体"/>
                <w:b/>
                <w:strike/>
                <w:dstrike w:val="0"/>
                <w:color w:val="0000FF"/>
                <w:szCs w:val="21"/>
                <w:u w:val="single"/>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肖新龙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2020-N1FSMS-1232380</w:t>
            </w:r>
          </w:p>
        </w:tc>
        <w:tc>
          <w:tcPr>
            <w:tcW w:w="1140" w:type="dxa"/>
            <w:vAlign w:val="center"/>
          </w:tcPr>
          <w:p>
            <w:pPr>
              <w:spacing w:line="240" w:lineRule="exact"/>
              <w:jc w:val="center"/>
              <w:rPr>
                <w:b/>
                <w:color w:val="000000"/>
                <w:szCs w:val="21"/>
              </w:rPr>
            </w:pPr>
            <w:r>
              <w:rPr>
                <w:b/>
                <w:color w:val="000000"/>
                <w:szCs w:val="21"/>
              </w:rPr>
              <w:t>FI-2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浙江中田农业科技有限公司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浙江省湖州市南浔区旧馆镇北港村北港自然村</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313011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浙江省湖州市南浔区旧馆镇北港村北港自然村</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313011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谢敏</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13706521661</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谢敏</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default" w:ascii="宋体" w:eastAsia="宋体"/>
                <w:b/>
                <w:color w:val="000000"/>
                <w:szCs w:val="21"/>
                <w:lang w:val="en-US" w:eastAsia="zh-CN"/>
              </w:rPr>
            </w:pPr>
            <w:r>
              <w:rPr>
                <w:rFonts w:hint="eastAsia" w:ascii="宋体"/>
                <w:b/>
                <w:color w:val="000000"/>
                <w:szCs w:val="21"/>
                <w:lang w:val="en-US" w:eastAsia="zh-CN"/>
              </w:rPr>
              <w:t>施晶晶</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bookmarkStart w:id="34" w:name="联系人邮箱"/>
            <w:r>
              <w:rPr>
                <w:sz w:val="21"/>
                <w:szCs w:val="21"/>
              </w:rPr>
              <w:t>meierxie@163.com</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rPr>
                <w:sz w:val="21"/>
                <w:szCs w:val="21"/>
              </w:rPr>
              <w:t>预包装食品（含冷藏冷冻食品）、初级农产品（蔬菜、淡水产品、畜禽肉）的销售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sz w:val="21"/>
                <w:szCs w:val="21"/>
              </w:rPr>
              <w:t>预包装食品（含冷藏冷冻食品）、初级农产品（蔬菜、淡水产品、畜禽肉）的销售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b w:val="0"/>
                <w:bCs w:val="0"/>
                <w:color w:val="000000"/>
                <w:highlight w:val="none"/>
                <w:lang w:val="en-US" w:eastAsia="zh-CN"/>
              </w:rPr>
            </w:pPr>
          </w:p>
          <w:p>
            <w:pPr>
              <w:tabs>
                <w:tab w:val="left" w:pos="360"/>
              </w:tabs>
              <w:ind w:left="360" w:hanging="360"/>
              <w:rPr>
                <w:rFonts w:ascii="宋体"/>
                <w:color w:val="000000"/>
                <w:szCs w:val="21"/>
              </w:rPr>
            </w:pPr>
            <w:r>
              <w:rPr>
                <w:rFonts w:hint="eastAsia"/>
                <w:b w:val="0"/>
                <w:bCs w:val="0"/>
                <w:color w:val="000000"/>
                <w:highlight w:val="none"/>
                <w:lang w:val="en-US" w:eastAsia="zh-CN"/>
              </w:rPr>
              <w:t>原辅料采购→验收/分拣→冷冻冷藏（适用时）→称量→检验→装车→运输/配送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r>
              <w:rPr>
                <w:rFonts w:hint="eastAsia"/>
                <w:color w:val="000000"/>
                <w:u w:val="none"/>
              </w:rPr>
              <w:t>位于浙江省湖州市南浔区旧馆镇北港村北港自然村浙江中田农业科技有限公司的预包装食品（含冷藏冷冻食品）、初级农产品（蔬菜、淡水产品、畜禽肉）的销售</w:t>
            </w:r>
            <w:r>
              <w:rPr>
                <w:rFonts w:hint="eastAsia"/>
                <w:color w:val="000000"/>
                <w:szCs w:val="21"/>
                <w:u w:val="none"/>
              </w:rPr>
              <w:t>；</w:t>
            </w: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096"/>
        <w:gridCol w:w="742"/>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09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74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sz w:val="21"/>
                <w:szCs w:val="21"/>
              </w:rPr>
            </w:pPr>
            <w:r>
              <w:rPr>
                <w:sz w:val="21"/>
                <w:szCs w:val="21"/>
              </w:rPr>
              <w:t>浙江中田农业科技有限公司</w:t>
            </w:r>
          </w:p>
          <w:p>
            <w:pPr>
              <w:spacing w:before="40" w:after="40"/>
              <w:rPr>
                <w:sz w:val="21"/>
                <w:szCs w:val="21"/>
                <w:lang w:val="de-DE" w:eastAsia="ja-JP"/>
              </w:rPr>
            </w:pPr>
            <w:r>
              <w:rPr>
                <w:sz w:val="21"/>
                <w:szCs w:val="21"/>
              </w:rPr>
              <w:t>浙江省湖州市南浔区旧馆镇北港村北港自然村</w:t>
            </w:r>
          </w:p>
        </w:tc>
        <w:tc>
          <w:tcPr>
            <w:tcW w:w="2096" w:type="dxa"/>
          </w:tcPr>
          <w:p>
            <w:pPr>
              <w:spacing w:before="40" w:after="40"/>
              <w:rPr>
                <w:rFonts w:eastAsia="黑体"/>
                <w:szCs w:val="21"/>
                <w:lang w:val="de-DE" w:eastAsia="ja-JP"/>
              </w:rPr>
            </w:pPr>
            <w:r>
              <w:rPr>
                <w:sz w:val="21"/>
                <w:szCs w:val="21"/>
              </w:rPr>
              <w:t>浙江省湖州市南浔区旧馆镇北港村北港自然村</w:t>
            </w:r>
          </w:p>
        </w:tc>
        <w:tc>
          <w:tcPr>
            <w:tcW w:w="742" w:type="dxa"/>
            <w:vAlign w:val="center"/>
          </w:tcPr>
          <w:p>
            <w:pPr>
              <w:spacing w:before="40" w:after="40"/>
              <w:rPr>
                <w:rFonts w:hint="default" w:eastAsia="黑体"/>
                <w:szCs w:val="21"/>
                <w:lang w:val="en-US" w:eastAsia="zh-CN"/>
              </w:rPr>
            </w:pPr>
            <w:r>
              <w:rPr>
                <w:rFonts w:hint="eastAsia" w:eastAsia="黑体"/>
                <w:szCs w:val="21"/>
                <w:lang w:val="en-US" w:eastAsia="zh-CN"/>
              </w:rPr>
              <w:t>45人</w:t>
            </w:r>
          </w:p>
        </w:tc>
        <w:tc>
          <w:tcPr>
            <w:tcW w:w="2803" w:type="dxa"/>
            <w:vAlign w:val="center"/>
          </w:tcPr>
          <w:p>
            <w:pPr>
              <w:pStyle w:val="19"/>
              <w:rPr>
                <w:rFonts w:eastAsia="黑体" w:cs="Arial"/>
                <w:sz w:val="21"/>
                <w:szCs w:val="21"/>
                <w:lang w:val="en-US" w:eastAsia="ja-JP"/>
              </w:rPr>
            </w:pPr>
            <w:bookmarkStart w:id="35" w:name="审核范围"/>
            <w:r>
              <w:rPr>
                <w:rFonts w:hint="eastAsia"/>
                <w:color w:val="000000"/>
                <w:u w:val="none"/>
              </w:rPr>
              <w:t>位于浙江省湖州市南浔区旧馆镇北港村北港自然村浙江中田农业科技有限公司的预包装食品（含冷藏冷冻食品）、初级农产品（蔬菜、淡水产品、畜禽肉）的销售</w:t>
            </w:r>
            <w:bookmarkEnd w:id="35"/>
            <w:r>
              <w:rPr>
                <w:rFonts w:hint="eastAsia"/>
                <w:color w:val="000000"/>
                <w:szCs w:val="21"/>
                <w:u w:val="none"/>
              </w:rPr>
              <w:t>；</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096" w:type="dxa"/>
            <w:vAlign w:val="center"/>
          </w:tcPr>
          <w:p>
            <w:pPr>
              <w:spacing w:before="40" w:after="40"/>
              <w:rPr>
                <w:rFonts w:eastAsia="黑体"/>
                <w:szCs w:val="21"/>
                <w:lang w:eastAsia="ja-JP"/>
              </w:rPr>
            </w:pPr>
          </w:p>
        </w:tc>
        <w:tc>
          <w:tcPr>
            <w:tcW w:w="742"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096" w:type="dxa"/>
            <w:vAlign w:val="center"/>
          </w:tcPr>
          <w:p>
            <w:pPr>
              <w:spacing w:before="40" w:after="40"/>
              <w:rPr>
                <w:rFonts w:eastAsia="黑体"/>
                <w:szCs w:val="21"/>
                <w:lang w:eastAsia="ja-JP"/>
              </w:rPr>
            </w:pPr>
          </w:p>
        </w:tc>
        <w:tc>
          <w:tcPr>
            <w:tcW w:w="742"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096" w:type="dxa"/>
            <w:vAlign w:val="center"/>
          </w:tcPr>
          <w:p>
            <w:pPr>
              <w:spacing w:before="40" w:after="40"/>
              <w:rPr>
                <w:rFonts w:eastAsia="黑体"/>
                <w:szCs w:val="21"/>
                <w:lang w:eastAsia="ja-JP"/>
              </w:rPr>
            </w:pPr>
          </w:p>
        </w:tc>
        <w:tc>
          <w:tcPr>
            <w:tcW w:w="742"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096" w:type="dxa"/>
            <w:vAlign w:val="center"/>
          </w:tcPr>
          <w:p>
            <w:pPr>
              <w:spacing w:before="40" w:after="40"/>
              <w:rPr>
                <w:rFonts w:eastAsia="黑体"/>
                <w:szCs w:val="21"/>
                <w:lang w:eastAsia="ja-JP"/>
              </w:rPr>
            </w:pPr>
          </w:p>
        </w:tc>
        <w:tc>
          <w:tcPr>
            <w:tcW w:w="742"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color w:val="000000"/>
                <w:sz w:val="21"/>
                <w:szCs w:val="21"/>
              </w:rPr>
              <w:sym w:font="Wingdings 2" w:char="00A3"/>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color w:val="000000"/>
                <w:sz w:val="21"/>
                <w:szCs w:val="21"/>
              </w:rPr>
              <w:sym w:font="Wingdings 2" w:char="0052"/>
            </w:r>
            <w:r>
              <w:rPr>
                <w:rFonts w:hint="eastAsia" w:ascii="宋体"/>
                <w:b w:val="0"/>
                <w:bCs/>
                <w:color w:val="000000"/>
                <w:sz w:val="21"/>
                <w:szCs w:val="21"/>
                <w:lang w:val="en-US" w:eastAsia="zh-CN"/>
              </w:rPr>
              <w:t>经营/</w:t>
            </w:r>
            <w:r>
              <w:rPr>
                <w:rFonts w:hint="eastAsia" w:ascii="Wingdings" w:hAnsi="Wingdings"/>
                <w:color w:val="000000"/>
                <w:sz w:val="21"/>
                <w:szCs w:val="21"/>
              </w:rPr>
              <w:sym w:font="Wingdings 2" w:char="00A3"/>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hint="default" w:ascii="宋体" w:eastAsia="宋体"/>
                <w:color w:val="000000"/>
                <w:spacing w:val="-10"/>
                <w:szCs w:val="21"/>
                <w:lang w:val="en-US" w:eastAsia="zh-CN"/>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不适用</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不适用</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15-16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年7月5日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hAnsi="宋体"/>
          <w:b/>
          <w:color w:val="000000"/>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73"/>
        <w:gridCol w:w="4490"/>
        <w:gridCol w:w="147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eastAsia="黑体"/>
                <w:b/>
                <w:szCs w:val="21"/>
              </w:rPr>
              <w:sym w:font="Wingdings" w:char="00FE"/>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hint="default" w:ascii="宋体" w:hAnsi="宋体" w:eastAsia="宋体"/>
                <w:color w:val="000000"/>
                <w:szCs w:val="21"/>
                <w:highlight w:val="none"/>
                <w:lang w:val="en-US" w:eastAsia="zh-CN"/>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）对生产加工的外包委托方是否实施了有效的控制（适用时）</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不适用</w:t>
            </w:r>
            <w:r>
              <w:rPr>
                <w:rFonts w:hint="eastAsia" w:ascii="宋体" w:hAnsi="宋体"/>
                <w:color w:val="000000"/>
                <w:szCs w:val="21"/>
                <w:highlight w:val="none"/>
                <w:lang w:eastAsia="zh-CN"/>
              </w:rPr>
              <w:t>）</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eastAsia="zh-CN"/>
              </w:rPr>
              <w:sym w:font="Wingdings 2" w:char="00A3"/>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hint="eastAsia" w:ascii="宋体" w:hAnsi="宋体"/>
                <w:bCs/>
                <w:color w:val="auto"/>
                <w:sz w:val="20"/>
                <w:lang w:val="en-GB"/>
              </w:rPr>
              <w:t>成立了</w:t>
            </w:r>
            <w:r>
              <w:rPr>
                <w:rFonts w:hint="eastAsia" w:ascii="宋体" w:hAnsi="宋体"/>
                <w:bCs/>
                <w:color w:val="auto"/>
                <w:sz w:val="20"/>
              </w:rPr>
              <w:t>食品安全</w:t>
            </w:r>
            <w:r>
              <w:rPr>
                <w:rFonts w:hint="eastAsia" w:ascii="宋体" w:hAnsi="宋体"/>
                <w:bCs/>
                <w:color w:val="auto"/>
                <w:sz w:val="20"/>
                <w:lang w:val="en-GB"/>
              </w:rPr>
              <w:t>小组，进行了</w:t>
            </w:r>
            <w:r>
              <w:rPr>
                <w:rFonts w:hint="eastAsia" w:ascii="宋体" w:hAnsi="宋体"/>
                <w:bCs/>
                <w:color w:val="auto"/>
                <w:sz w:val="20"/>
              </w:rPr>
              <w:t>充分的</w:t>
            </w:r>
            <w:r>
              <w:rPr>
                <w:rFonts w:hint="eastAsia" w:ascii="宋体" w:hAnsi="宋体"/>
                <w:bCs/>
                <w:color w:val="auto"/>
                <w:sz w:val="20"/>
                <w:lang w:val="en-GB"/>
              </w:rPr>
              <w:t>食品安全危害分析</w:t>
            </w:r>
            <w:r>
              <w:rPr>
                <w:rFonts w:hint="eastAsia" w:ascii="宋体" w:hAnsi="宋体"/>
                <w:bCs/>
                <w:color w:val="auto"/>
                <w:sz w:val="20"/>
              </w:rPr>
              <w:t>和评估</w:t>
            </w:r>
          </w:p>
        </w:tc>
        <w:tc>
          <w:tcPr>
            <w:tcW w:w="1470" w:type="dxa"/>
            <w:shd w:val="clear" w:color="auto" w:fill="E6E0EC" w:themeFill="accent4" w:themeFillTint="32"/>
          </w:tcPr>
          <w:p>
            <w:pPr>
              <w:rPr>
                <w:rFonts w:hint="default" w:ascii="宋体" w:eastAsia="宋体"/>
                <w:color w:val="auto"/>
                <w:spacing w:val="-10"/>
                <w:szCs w:val="21"/>
                <w:lang w:val="en-US" w:eastAsia="zh-CN"/>
              </w:rPr>
            </w:pPr>
            <w:r>
              <w:rPr>
                <w:rFonts w:hint="eastAsia" w:ascii="宋体" w:hAnsi="宋体"/>
                <w:color w:val="auto"/>
                <w:spacing w:val="-10"/>
                <w:szCs w:val="21"/>
              </w:rPr>
              <w:t>☑</w:t>
            </w:r>
            <w:r>
              <w:rPr>
                <w:rFonts w:hint="eastAsia" w:ascii="宋体" w:hAnsi="宋体"/>
                <w:color w:val="auto"/>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highlight w:val="none"/>
              </w:rPr>
            </w:pPr>
            <w:r>
              <w:rPr>
                <w:rFonts w:hint="eastAsia" w:ascii="宋体" w:hAnsi="宋体"/>
                <w:color w:val="000000"/>
                <w:szCs w:val="21"/>
                <w:highlight w:val="none"/>
              </w:rPr>
              <w:t>（4）</w:t>
            </w:r>
            <w:r>
              <w:rPr>
                <w:rFonts w:hint="eastAsia" w:ascii="宋体" w:hAnsi="宋体"/>
                <w:bCs/>
                <w:sz w:val="20"/>
                <w:highlight w:val="none"/>
                <w:lang w:val="en-GB"/>
              </w:rPr>
              <w:t>建立了应急准备、产品撤回/召回程序和可追溯性系统</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470"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auto"/>
                <w:spacing w:val="-10"/>
                <w:szCs w:val="21"/>
                <w:lang w:eastAsia="zh-CN"/>
              </w:rPr>
              <w:sym w:font="Wingdings 2" w:char="0052"/>
            </w:r>
            <w:r>
              <w:rPr>
                <w:rFonts w:hint="eastAsia" w:ascii="宋体" w:hAnsi="宋体"/>
                <w:color w:val="auto"/>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highlight w:val="none"/>
                <w:lang w:val="en-GB" w:eastAsia="zh-CN"/>
              </w:rPr>
            </w:pPr>
            <w:r>
              <w:rPr>
                <w:rFonts w:hint="eastAsia" w:ascii="宋体" w:hAnsi="宋体" w:eastAsia="宋体"/>
                <w:b w:val="0"/>
                <w:bCs/>
                <w:sz w:val="20"/>
                <w:highlight w:val="none"/>
                <w:lang w:val="en-GB" w:eastAsia="zh-CN"/>
              </w:rPr>
              <w:t>（</w:t>
            </w:r>
            <w:r>
              <w:rPr>
                <w:rFonts w:hint="eastAsia" w:ascii="宋体" w:hAnsi="宋体" w:eastAsia="宋体"/>
                <w:b w:val="0"/>
                <w:bCs/>
                <w:sz w:val="20"/>
                <w:highlight w:val="none"/>
                <w:lang w:val="en-US" w:eastAsia="zh-CN"/>
              </w:rPr>
              <w:t>10</w:t>
            </w:r>
            <w:r>
              <w:rPr>
                <w:rFonts w:hint="eastAsia" w:ascii="宋体" w:hAnsi="宋体" w:eastAsia="宋体"/>
                <w:b w:val="0"/>
                <w:bCs/>
                <w:sz w:val="20"/>
                <w:highlight w:val="none"/>
                <w:lang w:val="en-GB" w:eastAsia="zh-CN"/>
              </w:rPr>
              <w:t>）企业是否组织了</w:t>
            </w:r>
            <w:r>
              <w:rPr>
                <w:rFonts w:hint="eastAsia" w:ascii="宋体" w:hAnsi="宋体" w:eastAsia="宋体"/>
                <w:b w:val="0"/>
                <w:bCs/>
                <w:sz w:val="20"/>
                <w:highlight w:val="none"/>
                <w:lang w:val="en-US" w:eastAsia="zh-CN"/>
              </w:rPr>
              <w:t>食品安全</w:t>
            </w:r>
            <w:r>
              <w:rPr>
                <w:rFonts w:hint="eastAsia" w:ascii="宋体" w:hAnsi="宋体" w:eastAsia="宋体"/>
                <w:b w:val="0"/>
                <w:bCs/>
                <w:sz w:val="20"/>
                <w:highlight w:val="none"/>
                <w:lang w:val="en-GB" w:eastAsia="zh-CN"/>
              </w:rPr>
              <w:t>知识的培训</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highlight w:val="none"/>
                <w:lang w:val="en-GB" w:eastAsia="zh-CN"/>
              </w:rPr>
            </w:pPr>
            <w:r>
              <w:rPr>
                <w:rFonts w:hint="eastAsia" w:ascii="宋体" w:hAnsi="宋体" w:eastAsia="宋体"/>
                <w:b w:val="0"/>
                <w:bCs/>
                <w:sz w:val="20"/>
                <w:highlight w:val="none"/>
                <w:lang w:val="en-GB" w:eastAsia="zh-CN"/>
              </w:rPr>
              <w:t>（</w:t>
            </w:r>
            <w:r>
              <w:rPr>
                <w:rFonts w:hint="eastAsia" w:ascii="宋体" w:hAnsi="宋体" w:eastAsia="宋体"/>
                <w:b w:val="0"/>
                <w:bCs/>
                <w:sz w:val="20"/>
                <w:highlight w:val="none"/>
                <w:lang w:val="en-US" w:eastAsia="zh-CN"/>
              </w:rPr>
              <w:t>1</w:t>
            </w:r>
            <w:r>
              <w:rPr>
                <w:rFonts w:hint="eastAsia" w:ascii="宋体" w:hAnsi="宋体"/>
                <w:b w:val="0"/>
                <w:bCs/>
                <w:sz w:val="20"/>
                <w:highlight w:val="none"/>
                <w:lang w:val="en-US" w:eastAsia="zh-CN"/>
              </w:rPr>
              <w:t>4</w:t>
            </w:r>
            <w:r>
              <w:rPr>
                <w:rFonts w:hint="eastAsia" w:ascii="宋体" w:hAnsi="宋体" w:eastAsia="宋体"/>
                <w:b w:val="0"/>
                <w:bCs/>
                <w:sz w:val="20"/>
                <w:highlight w:val="none"/>
                <w:lang w:val="en-GB" w:eastAsia="zh-CN"/>
              </w:rPr>
              <w:t>）有关员工是否进行了健康检查</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是</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73"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lang w:val="en-US" w:eastAsia="zh-CN"/>
              </w:rPr>
              <w:t>显著危害</w:t>
            </w:r>
            <w:r>
              <w:rPr>
                <w:rFonts w:hint="eastAsia" w:ascii="宋体" w:hAnsi="宋体"/>
                <w:color w:val="000000"/>
                <w:spacing w:val="-10"/>
                <w:szCs w:val="21"/>
                <w:highlight w:val="none"/>
              </w:rPr>
              <w:t>的识别</w:t>
            </w:r>
          </w:p>
        </w:tc>
        <w:tc>
          <w:tcPr>
            <w:tcW w:w="4490" w:type="dxa"/>
            <w:shd w:val="clear" w:color="auto" w:fill="E6E0EC" w:themeFill="accent4" w:themeFillTint="32"/>
          </w:tcPr>
          <w:p>
            <w:pPr>
              <w:pStyle w:val="2"/>
              <w:spacing w:line="360" w:lineRule="auto"/>
              <w:rPr>
                <w:rFonts w:hint="eastAsia"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OPRP1:</w:t>
            </w:r>
            <w:r>
              <w:rPr>
                <w:rFonts w:hint="eastAsia" w:ascii="Times New Roman" w:hAnsi="Times New Roman" w:eastAsia="宋体" w:cs="Times New Roman"/>
                <w:highlight w:val="none"/>
                <w:lang w:val="en-US" w:eastAsia="zh-CN"/>
              </w:rPr>
              <w:t>冻品储存过程</w:t>
            </w:r>
          </w:p>
          <w:p>
            <w:pPr>
              <w:pStyle w:val="2"/>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OPRP2:冻品配送</w:t>
            </w:r>
          </w:p>
          <w:p>
            <w:pPr>
              <w:pStyle w:val="2"/>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CCP1：果蔬类产品验收</w:t>
            </w:r>
          </w:p>
        </w:tc>
        <w:tc>
          <w:tcPr>
            <w:tcW w:w="1470" w:type="dxa"/>
            <w:shd w:val="clear" w:color="auto" w:fill="E6E0EC" w:themeFill="accent4" w:themeFillTint="32"/>
          </w:tcPr>
          <w:p>
            <w:pPr>
              <w:rPr>
                <w:rFonts w:ascii="宋体"/>
                <w:color w:val="000000"/>
                <w:spacing w:val="-10"/>
                <w:szCs w:val="21"/>
                <w:highlight w:val="none"/>
              </w:rPr>
            </w:pPr>
            <w:r>
              <w:rPr>
                <w:rFonts w:ascii="Segoe UI Symbol" w:hAnsi="Segoe UI Symbol" w:cs="Segoe UI Symbol"/>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73" w:type="dxa"/>
            <w:shd w:val="clear" w:color="auto" w:fill="E6E0EC" w:themeFill="accent4" w:themeFillTint="32"/>
            <w:vAlign w:val="center"/>
          </w:tcPr>
          <w:p>
            <w:pPr>
              <w:rPr>
                <w:rFonts w:ascii="宋体"/>
                <w:color w:val="000000"/>
                <w:szCs w:val="21"/>
                <w:highlight w:val="none"/>
              </w:rPr>
            </w:pPr>
            <w:r>
              <w:rPr>
                <w:rFonts w:hint="eastAsia" w:ascii="宋体" w:hAnsi="宋体"/>
                <w:color w:val="000000"/>
                <w:szCs w:val="21"/>
                <w:highlight w:val="none"/>
              </w:rPr>
              <w:t>关键限值（CL）</w:t>
            </w:r>
            <w:r>
              <w:rPr>
                <w:rFonts w:hint="eastAsia" w:ascii="宋体" w:hAnsi="宋体"/>
                <w:color w:val="000000"/>
                <w:szCs w:val="21"/>
                <w:highlight w:val="none"/>
                <w:lang w:val="en-US" w:eastAsia="zh-CN"/>
              </w:rPr>
              <w:t>/行动准则</w:t>
            </w:r>
            <w:r>
              <w:rPr>
                <w:rFonts w:hint="eastAsia" w:ascii="宋体" w:hAnsi="宋体"/>
                <w:color w:val="000000"/>
                <w:spacing w:val="-10"/>
                <w:szCs w:val="21"/>
                <w:highlight w:val="none"/>
              </w:rPr>
              <w:t>的识别</w:t>
            </w:r>
          </w:p>
        </w:tc>
        <w:tc>
          <w:tcPr>
            <w:tcW w:w="4490" w:type="dxa"/>
            <w:shd w:val="clear" w:color="auto" w:fill="E6E0EC" w:themeFill="accent4" w:themeFillTint="32"/>
          </w:tcPr>
          <w:p>
            <w:pPr>
              <w:pStyle w:val="2"/>
              <w:spacing w:line="360" w:lineRule="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OPRP1</w:t>
            </w:r>
            <w:r>
              <w:rPr>
                <w:rFonts w:hint="eastAsia" w:ascii="Times New Roman" w:hAnsi="Times New Roman" w:eastAsia="宋体" w:cs="Times New Roman"/>
                <w:highlight w:val="none"/>
                <w:lang w:val="en-US" w:eastAsia="zh-CN"/>
              </w:rPr>
              <w:t>的行动准则：冷藏温度：-2~10℃，冷冻温度≤-12℃；</w:t>
            </w:r>
          </w:p>
          <w:p>
            <w:pPr>
              <w:pStyle w:val="2"/>
              <w:spacing w:line="360" w:lineRule="auto"/>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OPRP2</w:t>
            </w:r>
            <w:r>
              <w:rPr>
                <w:rFonts w:hint="eastAsia" w:ascii="Times New Roman" w:hAnsi="Times New Roman" w:cs="Times New Roman"/>
                <w:highlight w:val="none"/>
                <w:lang w:val="en-US" w:eastAsia="zh-CN"/>
              </w:rPr>
              <w:t>的行动准则：</w:t>
            </w:r>
            <w:r>
              <w:rPr>
                <w:rFonts w:hint="default" w:ascii="Times New Roman" w:hAnsi="Times New Roman" w:cs="Times New Roman"/>
                <w:highlight w:val="none"/>
                <w:lang w:val="en-US" w:eastAsia="zh-CN"/>
              </w:rPr>
              <w:t>:</w:t>
            </w:r>
            <w:r>
              <w:rPr>
                <w:rFonts w:hint="eastAsia" w:ascii="Times New Roman" w:hAnsi="Times New Roman" w:eastAsia="宋体" w:cs="Times New Roman"/>
                <w:highlight w:val="none"/>
                <w:lang w:val="en-US" w:eastAsia="zh-CN"/>
              </w:rPr>
              <w:t>冷藏温度：-2~10℃，冷冻温度≤0℃；</w:t>
            </w:r>
          </w:p>
          <w:p>
            <w:pPr>
              <w:pStyle w:val="2"/>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CCP1：果蔬类产品验收：农残抑制率</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50%</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73" w:type="dxa"/>
            <w:shd w:val="clear" w:color="auto" w:fill="E6E0EC" w:themeFill="accent4"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外包过程的识别</w:t>
            </w:r>
          </w:p>
        </w:tc>
        <w:tc>
          <w:tcPr>
            <w:tcW w:w="4490" w:type="dxa"/>
            <w:shd w:val="clear" w:color="auto" w:fill="E6E0EC" w:themeFill="accent4" w:themeFillTint="32"/>
          </w:tcPr>
          <w:p>
            <w:pPr>
              <w:rPr>
                <w:rFonts w:hint="default" w:ascii="宋体" w:eastAsia="宋体"/>
                <w:color w:val="000000"/>
                <w:spacing w:val="-10"/>
                <w:szCs w:val="21"/>
                <w:highlight w:val="none"/>
                <w:lang w:val="en-US" w:eastAsia="zh-CN"/>
              </w:rPr>
            </w:pPr>
            <w:r>
              <w:rPr>
                <w:rFonts w:hint="eastAsia" w:ascii="宋体"/>
                <w:color w:val="000000"/>
                <w:spacing w:val="-10"/>
                <w:szCs w:val="21"/>
                <w:highlight w:val="none"/>
                <w:lang w:val="en-US" w:eastAsia="zh-CN"/>
              </w:rPr>
              <w:t>无</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73" w:type="dxa"/>
            <w:shd w:val="clear" w:color="auto" w:fill="E6E0EC" w:themeFill="accent4" w:themeFillTint="32"/>
            <w:vAlign w:val="center"/>
          </w:tcPr>
          <w:p>
            <w:pPr>
              <w:rPr>
                <w:rFonts w:ascii="宋体" w:hAnsi="宋体"/>
                <w:color w:val="000000"/>
                <w:spacing w:val="-10"/>
                <w:szCs w:val="21"/>
                <w:highlight w:val="none"/>
              </w:rPr>
            </w:pPr>
            <w:r>
              <w:rPr>
                <w:rFonts w:hint="eastAsia" w:ascii="宋体" w:hAnsi="宋体"/>
                <w:bCs/>
                <w:sz w:val="20"/>
                <w:highlight w:val="none"/>
                <w:lang w:val="en-GB"/>
              </w:rPr>
              <w:t>食品添加剂使用的类别</w:t>
            </w:r>
          </w:p>
        </w:tc>
        <w:tc>
          <w:tcPr>
            <w:tcW w:w="4490" w:type="dxa"/>
            <w:shd w:val="clear" w:color="auto" w:fill="E6E0EC" w:themeFill="accent4" w:themeFillTint="32"/>
          </w:tcPr>
          <w:p>
            <w:pPr>
              <w:rPr>
                <w:rFonts w:ascii="宋体"/>
                <w:color w:val="000000"/>
                <w:spacing w:val="-10"/>
                <w:szCs w:val="21"/>
                <w:highlight w:val="none"/>
              </w:rPr>
            </w:pPr>
            <w:r>
              <w:rPr>
                <w:rFonts w:hint="eastAsia" w:ascii="宋体"/>
                <w:color w:val="000000"/>
                <w:spacing w:val="-10"/>
                <w:szCs w:val="21"/>
                <w:highlight w:val="none"/>
                <w:lang w:val="en-US" w:eastAsia="zh-CN"/>
              </w:rPr>
              <w:t>无</w:t>
            </w:r>
          </w:p>
        </w:tc>
        <w:tc>
          <w:tcPr>
            <w:tcW w:w="1470" w:type="dxa"/>
            <w:shd w:val="clear" w:color="auto" w:fill="E6E0EC" w:themeFill="accent4" w:themeFillTint="32"/>
          </w:tcPr>
          <w:p>
            <w:pPr>
              <w:rPr>
                <w:rFonts w:ascii="宋体"/>
                <w:color w:val="000000"/>
                <w:spacing w:val="-1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合理</w:t>
            </w:r>
          </w:p>
        </w:tc>
        <w:tc>
          <w:tcPr>
            <w:tcW w:w="1230" w:type="dxa"/>
            <w:shd w:val="clear" w:color="auto" w:fill="E6E0EC" w:themeFill="accent4"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73" w:type="dxa"/>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490"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t>是否满足生产/服务的需要且完好运行</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zCs w:val="21"/>
              </w:rPr>
              <w:t>☑是</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73" w:type="dxa"/>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特种设备管理</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r>
              <w:rPr>
                <w:rFonts w:hint="eastAsia" w:ascii="宋体"/>
                <w:color w:val="000000"/>
                <w:szCs w:val="21"/>
              </w:rPr>
              <w:t>（不适用）</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zCs w:val="21"/>
                <w:lang w:eastAsia="zh-CN"/>
              </w:rPr>
              <w:sym w:font="Wingdings 2" w:char="00A3"/>
            </w:r>
            <w:r>
              <w:rPr>
                <w:rFonts w:hint="eastAsia" w:ascii="宋体" w:hAnsi="宋体"/>
                <w:color w:val="000000"/>
                <w:szCs w:val="21"/>
              </w:rPr>
              <w:t xml:space="preserve">是     </w:t>
            </w:r>
          </w:p>
        </w:tc>
        <w:tc>
          <w:tcPr>
            <w:tcW w:w="1230" w:type="dxa"/>
            <w:shd w:val="clear" w:color="auto" w:fill="E6E0EC" w:themeFill="accent4" w:themeFillTint="32"/>
          </w:tcPr>
          <w:p>
            <w:pPr>
              <w:rPr>
                <w:rFonts w:hint="eastAsia" w:ascii="宋体" w:hAnsi="宋体" w:eastAsia="宋体"/>
                <w:color w:val="000000"/>
                <w:szCs w:val="21"/>
                <w:lang w:eastAsia="zh-CN"/>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73" w:type="dxa"/>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490" w:type="dxa"/>
            <w:shd w:val="clear" w:color="auto" w:fill="E6E0EC" w:themeFill="accent4" w:themeFillTint="32"/>
            <w:vAlign w:val="center"/>
          </w:tcPr>
          <w:p>
            <w:pPr>
              <w:jc w:val="left"/>
              <w:rPr>
                <w:rFonts w:ascii="宋体"/>
                <w:color w:val="000000"/>
                <w:szCs w:val="21"/>
              </w:rPr>
            </w:pPr>
            <w:r>
              <w:rPr>
                <w:rFonts w:hint="eastAsia" w:ascii="宋体"/>
                <w:color w:val="000000"/>
                <w:szCs w:val="21"/>
              </w:rPr>
              <w:t>是否满足产品检测的需要</w:t>
            </w:r>
          </w:p>
        </w:tc>
        <w:tc>
          <w:tcPr>
            <w:tcW w:w="1470" w:type="dxa"/>
            <w:shd w:val="clear" w:color="auto" w:fill="E6E0EC" w:themeFill="accent4" w:themeFillTint="32"/>
          </w:tcPr>
          <w:p>
            <w:pPr>
              <w:rPr>
                <w:rFonts w:ascii="宋体"/>
                <w:color w:val="000000"/>
                <w:szCs w:val="21"/>
              </w:rPr>
            </w:pPr>
            <w:r>
              <w:rPr>
                <w:rFonts w:hint="eastAsia" w:ascii="宋体"/>
                <w:color w:val="000000"/>
                <w:szCs w:val="21"/>
                <w:lang w:eastAsia="zh-CN"/>
              </w:rPr>
              <w:sym w:font="Wingdings 2" w:char="0052"/>
            </w:r>
            <w:r>
              <w:rPr>
                <w:rFonts w:hint="eastAsia" w:ascii="宋体"/>
                <w:color w:val="000000"/>
                <w:szCs w:val="21"/>
              </w:rPr>
              <w:t xml:space="preserve">是     </w:t>
            </w:r>
          </w:p>
        </w:tc>
        <w:tc>
          <w:tcPr>
            <w:tcW w:w="1230" w:type="dxa"/>
            <w:shd w:val="clear" w:color="auto" w:fill="E6E0EC" w:themeFill="accent4" w:themeFillTint="32"/>
          </w:tcPr>
          <w:p>
            <w:pPr>
              <w:rPr>
                <w:rFonts w:hint="default" w:ascii="宋体"/>
                <w:color w:val="000000"/>
                <w:szCs w:val="21"/>
                <w:lang w:val="en-US"/>
              </w:rPr>
            </w:pPr>
            <w:r>
              <w:rPr>
                <w:rFonts w:hint="eastAsia" w:ascii="宋体"/>
                <w:color w:val="000000"/>
                <w:szCs w:val="21"/>
              </w:rPr>
              <w:sym w:font="Wingdings 2" w:char="00A3"/>
            </w: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73" w:type="dxa"/>
            <w:shd w:val="clear" w:color="auto" w:fill="E6E0EC" w:themeFill="accent4"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zCs w:val="21"/>
              </w:rPr>
              <w:t xml:space="preserve">是否满足生产/服务食品安全的需要               </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73" w:type="dxa"/>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产品食品安全标准                          </w:t>
            </w:r>
          </w:p>
        </w:tc>
        <w:tc>
          <w:tcPr>
            <w:tcW w:w="147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230" w:type="dxa"/>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73" w:type="dxa"/>
            <w:vMerge w:val="continue"/>
            <w:shd w:val="clear" w:color="auto" w:fill="E6E0EC" w:themeFill="accent4" w:themeFillTint="32"/>
          </w:tcPr>
          <w:p>
            <w:pPr>
              <w:ind w:left="-1" w:leftChars="-1" w:hanging="1"/>
              <w:jc w:val="left"/>
              <w:rPr>
                <w:rFonts w:ascii="宋体"/>
                <w:color w:val="000000"/>
                <w:szCs w:val="21"/>
              </w:rPr>
            </w:pPr>
          </w:p>
        </w:tc>
        <w:tc>
          <w:tcPr>
            <w:tcW w:w="449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47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73" w:type="dxa"/>
            <w:vMerge w:val="continue"/>
            <w:shd w:val="clear" w:color="auto" w:fill="E6E0EC" w:themeFill="accent4" w:themeFillTint="32"/>
          </w:tcPr>
          <w:p>
            <w:pPr>
              <w:ind w:left="-1" w:leftChars="-1" w:hanging="1"/>
              <w:jc w:val="left"/>
              <w:rPr>
                <w:rFonts w:ascii="宋体"/>
                <w:color w:val="000000"/>
                <w:szCs w:val="21"/>
              </w:rPr>
            </w:pPr>
          </w:p>
        </w:tc>
        <w:tc>
          <w:tcPr>
            <w:tcW w:w="449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 xml:space="preserve">☑ </w:t>
            </w:r>
            <w:r>
              <w:rPr>
                <w:rFonts w:hint="eastAsia" w:ascii="宋体" w:hAnsi="宋体"/>
                <w:bCs/>
                <w:sz w:val="20"/>
                <w:lang w:val="en-GB"/>
              </w:rPr>
              <w:t>产品安全性验证证据是否齐全</w:t>
            </w:r>
            <w:r>
              <w:rPr>
                <w:rFonts w:hint="eastAsia" w:ascii="宋体"/>
                <w:color w:val="000000"/>
                <w:szCs w:val="21"/>
              </w:rPr>
              <w:t xml:space="preserve">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490"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continue"/>
            <w:shd w:val="clear" w:color="auto" w:fill="E6E0EC" w:themeFill="accent4" w:themeFillTint="32"/>
          </w:tcPr>
          <w:p>
            <w:pPr>
              <w:ind w:left="168" w:leftChars="80"/>
              <w:rPr>
                <w:rFonts w:ascii="宋体"/>
                <w:color w:val="000000"/>
                <w:spacing w:val="-10"/>
                <w:szCs w:val="21"/>
              </w:rPr>
            </w:pPr>
          </w:p>
        </w:tc>
        <w:tc>
          <w:tcPr>
            <w:tcW w:w="4490" w:type="dxa"/>
            <w:shd w:val="clear" w:color="auto" w:fill="E6E0EC" w:themeFill="accent4" w:themeFillTint="32"/>
          </w:tcPr>
          <w:p>
            <w:pPr>
              <w:rPr>
                <w:rFonts w:ascii="宋体"/>
                <w:color w:val="000000"/>
                <w:spacing w:val="-10"/>
                <w:szCs w:val="21"/>
              </w:rPr>
            </w:pPr>
            <w:r>
              <w:rPr>
                <w:rFonts w:hint="eastAsia" w:ascii="宋体"/>
                <w:color w:val="000000"/>
                <w:szCs w:val="21"/>
              </w:rPr>
              <w:t xml:space="preserve">是否因食品安全问题受到媒体的曝光        </w:t>
            </w:r>
          </w:p>
        </w:tc>
        <w:tc>
          <w:tcPr>
            <w:tcW w:w="1470"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continue"/>
            <w:shd w:val="clear" w:color="auto" w:fill="E6E0EC" w:themeFill="accent4" w:themeFillTint="32"/>
          </w:tcPr>
          <w:p>
            <w:pPr>
              <w:rPr>
                <w:szCs w:val="21"/>
              </w:rPr>
            </w:pPr>
          </w:p>
        </w:tc>
        <w:tc>
          <w:tcPr>
            <w:tcW w:w="449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是否发生了食品安全事故/召回         </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vMerge w:val="continue"/>
            <w:shd w:val="clear" w:color="auto" w:fill="E6E0EC" w:themeFill="accent4" w:themeFillTint="32"/>
          </w:tcPr>
          <w:p>
            <w:pPr>
              <w:rPr>
                <w:rFonts w:ascii="宋体" w:hAnsi="宋体"/>
                <w:color w:val="000000"/>
                <w:szCs w:val="21"/>
              </w:rPr>
            </w:pPr>
          </w:p>
        </w:tc>
        <w:tc>
          <w:tcPr>
            <w:tcW w:w="4490" w:type="dxa"/>
            <w:shd w:val="clear" w:color="auto" w:fill="E6E0EC" w:themeFill="accent4"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47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230"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73"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190"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sym w:font="Wingdings 2" w:char="0052"/>
            </w:r>
            <w:r>
              <w:rPr>
                <w:rFonts w:hint="eastAsia" w:ascii="宋体" w:hAnsi="宋体"/>
                <w:b/>
                <w:color w:val="000000"/>
                <w:sz w:val="20"/>
                <w:szCs w:val="20"/>
              </w:rPr>
              <w:t>运输过程</w:t>
            </w:r>
          </w:p>
        </w:tc>
      </w:tr>
    </w:tbl>
    <w:p>
      <w:pPr>
        <w:spacing w:before="40" w:after="40"/>
        <w:rPr>
          <w:rFonts w:eastAsia="黑体"/>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2022-07-2</w:t>
            </w:r>
            <w:bookmarkEnd w:id="36"/>
            <w:r>
              <w:rPr>
                <w:rFonts w:hint="eastAsia" w:ascii="宋体"/>
                <w:b/>
                <w:color w:val="000000"/>
                <w:szCs w:val="21"/>
                <w:lang w:val="en-US" w:eastAsia="zh-CN"/>
              </w:rPr>
              <w:t>3上午</w:t>
            </w:r>
          </w:p>
        </w:tc>
      </w:tr>
    </w:tbl>
    <w:p>
      <w:pPr>
        <w:spacing w:before="156" w:beforeLines="50" w:line="360" w:lineRule="exact"/>
        <w:rPr>
          <w:rFonts w:ascii="宋体"/>
          <w:b/>
          <w:color w:val="000000"/>
          <w:szCs w:val="21"/>
        </w:rPr>
      </w:pPr>
    </w:p>
    <w:p>
      <w:pPr>
        <w:widowControl/>
        <w:jc w:val="left"/>
        <w:rPr>
          <w:rFonts w:hint="default" w:ascii="宋体" w:eastAsia="宋体"/>
          <w:b/>
          <w:color w:val="000000"/>
          <w:szCs w:val="21"/>
          <w:lang w:val="en-US" w:eastAsia="zh-CN"/>
        </w:rPr>
      </w:pPr>
      <w:r>
        <w:rPr>
          <w:rFonts w:hint="eastAsia" w:ascii="宋体" w:hAnsi="宋体"/>
          <w:b/>
          <w:color w:val="000000"/>
          <w:szCs w:val="21"/>
        </w:rPr>
        <w:t>八、管理体系一体化程度确认（两个或两个以上管理体系审核时填写）</w:t>
      </w:r>
      <w:r>
        <w:rPr>
          <w:rFonts w:hint="eastAsia" w:ascii="宋体" w:hAnsi="宋体"/>
          <w:b/>
          <w:color w:val="000000"/>
          <w:szCs w:val="21"/>
          <w:lang w:eastAsia="zh-CN"/>
        </w:rPr>
        <w:t>——</w:t>
      </w:r>
      <w:r>
        <w:rPr>
          <w:rFonts w:hint="eastAsia" w:ascii="宋体" w:hAnsi="宋体"/>
          <w:b/>
          <w:color w:val="000000"/>
          <w:szCs w:val="21"/>
          <w:lang w:val="en-US" w:eastAsia="zh-CN"/>
        </w:rPr>
        <w:t>不适用</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strike/>
                <w:dstrike w:val="0"/>
                <w:color w:val="000000"/>
                <w:spacing w:val="-10"/>
                <w:szCs w:val="21"/>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strike/>
                <w:dstrike w:val="0"/>
                <w:color w:val="0000FF"/>
                <w:szCs w:val="21"/>
              </w:rPr>
            </w:pPr>
            <w:r>
              <w:rPr>
                <w:rFonts w:hint="eastAsia" w:ascii="宋体"/>
                <w:b/>
                <w:strike/>
                <w:dstrike w:val="0"/>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strike/>
                <w:dstrike w:val="0"/>
                <w:color w:val="0000FF"/>
                <w:szCs w:val="21"/>
              </w:rPr>
            </w:pPr>
            <w:r>
              <w:rPr>
                <w:rFonts w:hint="eastAsia" w:ascii="宋体"/>
                <w:b/>
                <w:strike/>
                <w:dstrike w:val="0"/>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r>
              <w:rPr>
                <w:rFonts w:hint="eastAsia"/>
                <w:color w:val="000000"/>
                <w:u w:val="single"/>
              </w:rPr>
              <w:t>位于浙江省湖州市南浔区旧馆镇北港村北港自然村浙江中田农业科技有限公司的预包装食品（含冷藏冷冻食品）、初级农产品（蔬菜、淡水产品、畜禽肉）的销售</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ascii="宋体" w:hAnsi="宋体"/>
          <w:b/>
          <w:color w:val="000000"/>
          <w:szCs w:val="21"/>
        </w:rPr>
        <w:drawing>
          <wp:anchor distT="0" distB="0" distL="114300" distR="114300" simplePos="0" relativeHeight="251661312" behindDoc="1" locked="0" layoutInCell="1" allowOverlap="1">
            <wp:simplePos x="0" y="0"/>
            <wp:positionH relativeFrom="column">
              <wp:posOffset>1805940</wp:posOffset>
            </wp:positionH>
            <wp:positionV relativeFrom="paragraph">
              <wp:posOffset>-381000</wp:posOffset>
            </wp:positionV>
            <wp:extent cx="992505" cy="574675"/>
            <wp:effectExtent l="0" t="0" r="10795" b="9525"/>
            <wp:wrapTight wrapText="bothSides">
              <wp:wrapPolygon>
                <wp:start x="0" y="0"/>
                <wp:lineTo x="0" y="21003"/>
                <wp:lineTo x="21282" y="21003"/>
                <wp:lineTo x="21282" y="0"/>
                <wp:lineTo x="0" y="0"/>
              </wp:wrapPolygon>
            </wp:wrapTight>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992505" cy="574675"/>
                    </a:xfrm>
                    <a:prstGeom prst="rect">
                      <a:avLst/>
                    </a:prstGeom>
                  </pic:spPr>
                </pic:pic>
              </a:graphicData>
            </a:graphic>
          </wp:anchor>
        </w:drawing>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无</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2022-07-22</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受审核方：浙江中田农业科技有限公司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157"/>
        <w:gridCol w:w="2168"/>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945"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168"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p>
        </w:tc>
        <w:tc>
          <w:tcPr>
            <w:tcW w:w="4945"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无</w:t>
            </w:r>
            <w:bookmarkStart w:id="37" w:name="_GoBack"/>
            <w:bookmarkEnd w:id="37"/>
          </w:p>
        </w:tc>
        <w:tc>
          <w:tcPr>
            <w:tcW w:w="2168" w:type="dxa"/>
            <w:vAlign w:val="center"/>
          </w:tcPr>
          <w:p>
            <w:pPr>
              <w:pStyle w:val="6"/>
              <w:pBdr>
                <w:bottom w:val="none" w:color="auto" w:sz="0" w:space="0"/>
              </w:pBdr>
              <w:ind w:right="600"/>
              <w:jc w:val="both"/>
              <w:rPr>
                <w:rFonts w:hint="default" w:eastAsia="宋体"/>
                <w:color w:val="000000"/>
                <w:sz w:val="21"/>
                <w:szCs w:val="21"/>
                <w:lang w:val="en-US" w:eastAsia="zh-CN"/>
              </w:rPr>
            </w:pPr>
          </w:p>
        </w:tc>
        <w:tc>
          <w:tcPr>
            <w:tcW w:w="1133" w:type="dxa"/>
            <w:vAlign w:val="center"/>
          </w:tcPr>
          <w:p>
            <w:pPr>
              <w:pStyle w:val="6"/>
              <w:pBdr>
                <w:bottom w:val="none" w:color="auto" w:sz="0" w:space="0"/>
              </w:pBdr>
              <w:ind w:right="600"/>
              <w:jc w:val="both"/>
              <w:rPr>
                <w:rFonts w:hint="default" w:eastAsia="宋体"/>
                <w:color w:val="000000"/>
                <w:sz w:val="21"/>
                <w:szCs w:val="21"/>
                <w:lang w:val="en-US" w:eastAsia="zh-CN"/>
              </w:rPr>
            </w:pP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945"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168"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945"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168"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945"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168"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945"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168"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hint="default" w:ascii="宋体" w:eastAsia="宋体"/>
                <w:b/>
                <w:bCs/>
                <w:color w:val="000000"/>
                <w:spacing w:val="-8"/>
                <w:szCs w:val="21"/>
                <w:lang w:val="en-US" w:eastAsia="zh-CN"/>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r>
              <w:rPr>
                <w:rFonts w:hint="eastAsia" w:ascii="宋体" w:hAnsi="宋体"/>
                <w:b/>
                <w:bCs/>
                <w:color w:val="000000"/>
                <w:spacing w:val="-8"/>
                <w:szCs w:val="21"/>
                <w:lang w:val="en-US" w:eastAsia="zh-CN"/>
              </w:rPr>
              <w:t>-不适用</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pStyle w:val="2"/>
              <w:rPr>
                <w:b/>
                <w:color w:val="000000"/>
                <w:szCs w:val="21"/>
              </w:rPr>
            </w:pPr>
          </w:p>
          <w:p>
            <w:pPr>
              <w:pStyle w:val="2"/>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DM3N2UwYzRjODcyYjBmZWI4OGFkMDIyNTk1M2M5ZTMifQ=="/>
  </w:docVars>
  <w:rsids>
    <w:rsidRoot w:val="00000000"/>
    <w:rsid w:val="1E123333"/>
    <w:rsid w:val="21F81D41"/>
    <w:rsid w:val="2BE20AEC"/>
    <w:rsid w:val="2D86278B"/>
    <w:rsid w:val="6F4023EA"/>
    <w:rsid w:val="7E784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1"/>
    <w:semiHidden/>
    <w:qFormat/>
    <w:uiPriority w:val="99"/>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5"/>
    <w:semiHidden/>
    <w:qFormat/>
    <w:locked/>
    <w:uiPriority w:val="99"/>
    <w:rPr>
      <w:rFonts w:ascii="Times New Roman" w:hAnsi="Times New Roman" w:eastAsia="宋体" w:cs="Times New Roman"/>
      <w:sz w:val="18"/>
      <w:szCs w:val="18"/>
    </w:rPr>
  </w:style>
  <w:style w:type="character" w:customStyle="1" w:styleId="12">
    <w:name w:val="页脚 Char"/>
    <w:link w:val="2"/>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4740</Words>
  <Characters>5279</Characters>
  <Lines>67</Lines>
  <Paragraphs>18</Paragraphs>
  <TotalTime>3</TotalTime>
  <ScaleCrop>false</ScaleCrop>
  <LinksUpToDate>false</LinksUpToDate>
  <CharactersWithSpaces>5515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肖新龙</cp:lastModifiedBy>
  <dcterms:modified xsi:type="dcterms:W3CDTF">2022-07-23T09:07:58Z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2052-11.1.0.11875</vt:lpwstr>
  </property>
</Properties>
</file>