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0773-2021-F-2022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厦门连港宏贸易有限公司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厦门连港宏贸易有限公司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中国（福建）自由贸易试验区厦门片区渔港东路12-1018、1019</w:t>
            </w:r>
            <w:bookmarkEnd w:id="8"/>
          </w:p>
        </w:tc>
        <w:tc>
          <w:tcPr>
            <w:tcW w:w="1242" w:type="dxa"/>
            <w:vMerge w:val="restart"/>
            <w:vAlign w:val="center"/>
          </w:tcPr>
          <w:p>
            <w:r>
              <w:rPr>
                <w:rFonts w:hint="eastAsia"/>
              </w:rPr>
              <w:t>邮编</w:t>
            </w:r>
          </w:p>
        </w:tc>
        <w:tc>
          <w:tcPr>
            <w:tcW w:w="1771" w:type="dxa"/>
          </w:tcPr>
          <w:p>
            <w:bookmarkStart w:id="9" w:name="注册邮编"/>
            <w:r>
              <w:t>361009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中国（福建）自由贸易试验区厦门片区渔港东路12-1018、1019</w:t>
            </w:r>
            <w:bookmarkEnd w:id="10"/>
          </w:p>
        </w:tc>
        <w:tc>
          <w:tcPr>
            <w:tcW w:w="1242" w:type="dxa"/>
            <w:vMerge w:val="continue"/>
            <w:vAlign w:val="center"/>
          </w:tcPr>
          <w:p/>
        </w:tc>
        <w:tc>
          <w:tcPr>
            <w:tcW w:w="1771" w:type="dxa"/>
          </w:tcPr>
          <w:p>
            <w:bookmarkStart w:id="11" w:name="办公邮编"/>
            <w:r>
              <w:t>361009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肖慧婷</w:t>
            </w:r>
            <w:bookmarkEnd w:id="12"/>
          </w:p>
        </w:tc>
        <w:tc>
          <w:tcPr>
            <w:tcW w:w="1313" w:type="dxa"/>
            <w:vAlign w:val="center"/>
          </w:tcPr>
          <w:p>
            <w:r>
              <w:rPr>
                <w:rFonts w:hint="eastAsia"/>
              </w:rPr>
              <w:t>电话.</w:t>
            </w:r>
          </w:p>
        </w:tc>
        <w:tc>
          <w:tcPr>
            <w:tcW w:w="2180" w:type="dxa"/>
            <w:vAlign w:val="center"/>
          </w:tcPr>
          <w:p>
            <w:bookmarkStart w:id="13" w:name="联系人电话"/>
            <w:r>
              <w:t>18020758352</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肖慧婷</w:t>
            </w:r>
            <w:bookmarkEnd w:id="15"/>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蔡欢</w:t>
            </w:r>
          </w:p>
        </w:tc>
        <w:tc>
          <w:tcPr>
            <w:tcW w:w="1242" w:type="dxa"/>
          </w:tcPr>
          <w:p>
            <w:r>
              <w:rPr>
                <w:rFonts w:hint="eastAsia"/>
              </w:rPr>
              <w:t>邮箱</w:t>
            </w:r>
          </w:p>
        </w:tc>
        <w:tc>
          <w:tcPr>
            <w:tcW w:w="1771" w:type="dxa"/>
          </w:tcPr>
          <w:p>
            <w:bookmarkStart w:id="16" w:name="联系人邮箱"/>
            <w:r>
              <w:rPr>
                <w:sz w:val="21"/>
                <w:szCs w:val="21"/>
              </w:rPr>
              <w:t>Liangang1988@163.com</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rPr>
                <w:rFonts w:hint="eastAsia"/>
                <w:b w:val="0"/>
                <w:bCs w:val="0"/>
                <w:color w:val="000000"/>
                <w:highlight w:val="none"/>
                <w:lang w:val="en-US" w:eastAsia="zh-CN"/>
              </w:rPr>
              <w:t>原辅料采购→验收/分拣→冷冻冷藏（适用时）→称量→装车→运输/配送（销售）</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2022年07月21日 上午</w:t>
            </w:r>
            <w:r>
              <w:rPr>
                <w:rFonts w:hint="eastAsia"/>
                <w:lang w:val="en-US" w:eastAsia="zh-CN"/>
              </w:rPr>
              <w:t>8:30</w:t>
            </w:r>
            <w:r>
              <w:rPr>
                <w:rFonts w:hint="eastAsia"/>
              </w:rPr>
              <w:t>至2022年07月21日 下午</w:t>
            </w:r>
            <w:bookmarkEnd w:id="17"/>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w:t>
            </w:r>
            <w:r>
              <w:rPr>
                <w:rFonts w:hint="eastAsia"/>
                <w:lang w:val="en-US" w:eastAsia="zh-CN"/>
              </w:rPr>
              <w:t>1次</w:t>
            </w:r>
            <w:r>
              <w:rPr>
                <w:rFonts w:hint="eastAsia"/>
              </w:rPr>
              <w:t>：评价组织管理体系的持续符合性和有效性，以确定是否推荐保持认证证书。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Theme="minorEastAsia"/>
                <w:b/>
                <w:color w:val="0000FF"/>
                <w:szCs w:val="21"/>
                <w:lang w:eastAsia="zh-CN"/>
              </w:rPr>
            </w:pPr>
            <w:r>
              <w:rPr>
                <w:rFonts w:asciiTheme="minorEastAsia" w:hAnsiTheme="minorEastAsia" w:eastAsiaTheme="minorEastAsia"/>
                <w:sz w:val="20"/>
              </w:rPr>
              <w:t>中国（福建）自由贸易试验区厦门片区渔港东路12-1018、1019</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远程</w:t>
            </w:r>
            <w:r>
              <w:rPr>
                <w:rFonts w:hint="eastAsia" w:asciiTheme="minorEastAsia" w:hAnsiTheme="minorEastAsia" w:eastAsiaTheme="minor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位于福建省中国（福建）自由贸易试验区厦门片区渔港东路12-1018、1019厦门连港宏贸易有限公司分拣区的农副产品（水产品）的销售。</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FI-2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 年 03月 02 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6</w:t>
            </w:r>
            <w:r>
              <w:rPr>
                <w:rFonts w:hint="eastAsia"/>
              </w:rPr>
              <w:t>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w:t>
            </w:r>
            <w:r>
              <w:rPr>
                <w:rFonts w:hint="eastAsia"/>
                <w:highlight w:val="none"/>
                <w:lang w:val="en-US" w:eastAsia="zh-CN"/>
              </w:rPr>
              <w:t>2024</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12</w:t>
            </w:r>
            <w:r>
              <w:rPr>
                <w:rFonts w:hint="eastAsia"/>
                <w:highlight w:val="none"/>
              </w:rPr>
              <w:t>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jc w:val="left"/>
              <w:rPr>
                <w:szCs w:val="21"/>
              </w:rPr>
            </w:pPr>
            <w:r>
              <w:rPr>
                <w:szCs w:val="21"/>
              </w:rPr>
              <w:t>厦门连港宏贸易有限公司</w:t>
            </w:r>
          </w:p>
          <w:p>
            <w:pPr>
              <w:jc w:val="left"/>
              <w:rPr>
                <w:rFonts w:cs="Times New Roman" w:asciiTheme="minorEastAsia" w:hAnsiTheme="minorEastAsia" w:eastAsiaTheme="minorEastAsia"/>
                <w:kern w:val="2"/>
                <w:sz w:val="18"/>
                <w:szCs w:val="18"/>
                <w:lang w:val="de-DE" w:eastAsia="ja-JP" w:bidi="ar-SA"/>
              </w:rPr>
            </w:pPr>
            <w:r>
              <w:rPr>
                <w:rFonts w:hint="eastAsia" w:asciiTheme="minorEastAsia" w:hAnsiTheme="minorEastAsia" w:eastAsiaTheme="minorEastAsia"/>
                <w:sz w:val="20"/>
              </w:rPr>
              <w:t>福</w:t>
            </w:r>
            <w:r>
              <w:rPr>
                <w:rFonts w:asciiTheme="minorEastAsia" w:hAnsiTheme="minorEastAsia" w:eastAsiaTheme="minorEastAsia"/>
                <w:sz w:val="20"/>
              </w:rPr>
              <w:t>建省中国（福建）自由贸易试验区厦门片区渔港东路12-1018、1019</w:t>
            </w:r>
          </w:p>
        </w:tc>
        <w:tc>
          <w:tcPr>
            <w:tcW w:w="2267" w:type="dxa"/>
            <w:vAlign w:val="top"/>
          </w:tcPr>
          <w:p>
            <w:pPr>
              <w:rPr>
                <w:rFonts w:cs="Times New Roman" w:asciiTheme="minorEastAsia" w:hAnsiTheme="minorEastAsia" w:eastAsiaTheme="minorEastAsia"/>
                <w:kern w:val="2"/>
                <w:sz w:val="18"/>
                <w:szCs w:val="18"/>
                <w:lang w:val="de-DE" w:eastAsia="ja-JP" w:bidi="ar-SA"/>
              </w:rPr>
            </w:pPr>
            <w:r>
              <w:rPr>
                <w:rFonts w:hint="eastAsia" w:asciiTheme="minorEastAsia" w:hAnsiTheme="minorEastAsia" w:eastAsiaTheme="minorEastAsia"/>
                <w:sz w:val="20"/>
              </w:rPr>
              <w:t>福</w:t>
            </w:r>
            <w:r>
              <w:rPr>
                <w:rFonts w:asciiTheme="minorEastAsia" w:hAnsiTheme="minorEastAsia" w:eastAsiaTheme="minorEastAsia"/>
                <w:sz w:val="20"/>
              </w:rPr>
              <w:t>建省中国（福建）自由贸易试验区厦门片区渔港东路12-1018、1019</w:t>
            </w:r>
            <w:r>
              <w:rPr>
                <w:rFonts w:asciiTheme="minorEastAsia" w:hAnsiTheme="minorEastAsia" w:eastAsiaTheme="minorEastAsia"/>
                <w:color w:val="000000"/>
                <w:sz w:val="18"/>
                <w:szCs w:val="18"/>
              </w:rPr>
              <w:t xml:space="preserve">       </w:t>
            </w:r>
          </w:p>
        </w:tc>
        <w:tc>
          <w:tcPr>
            <w:tcW w:w="571" w:type="dxa"/>
            <w:vAlign w:val="center"/>
          </w:tcPr>
          <w:p>
            <w:pPr>
              <w:spacing w:before="40" w:after="40"/>
              <w:rPr>
                <w:rFonts w:cs="Times New Roman" w:asciiTheme="minorEastAsia" w:hAnsiTheme="minorEastAsia" w:eastAsiaTheme="minorEastAsia"/>
                <w:kern w:val="2"/>
                <w:sz w:val="18"/>
                <w:szCs w:val="18"/>
                <w:lang w:val="en-US" w:eastAsia="ja-JP" w:bidi="ar-SA"/>
              </w:rPr>
            </w:pPr>
            <w:r>
              <w:rPr>
                <w:rFonts w:asciiTheme="minorEastAsia" w:hAnsiTheme="minorEastAsia" w:eastAsiaTheme="minorEastAsia"/>
                <w:sz w:val="18"/>
                <w:szCs w:val="18"/>
              </w:rPr>
              <w:t>15</w:t>
            </w:r>
            <w:r>
              <w:rPr>
                <w:rFonts w:hint="eastAsia" w:asciiTheme="minorEastAsia" w:hAnsiTheme="minorEastAsia" w:eastAsiaTheme="minorEastAsia"/>
                <w:sz w:val="18"/>
                <w:szCs w:val="18"/>
              </w:rPr>
              <w:t>人</w:t>
            </w:r>
          </w:p>
        </w:tc>
        <w:tc>
          <w:tcPr>
            <w:tcW w:w="2803" w:type="dxa"/>
            <w:vAlign w:val="center"/>
          </w:tcPr>
          <w:p>
            <w:pPr>
              <w:pStyle w:val="24"/>
              <w:rPr>
                <w:rFonts w:cs="Arial" w:asciiTheme="minorEastAsia" w:hAnsiTheme="minorEastAsia" w:eastAsiaTheme="minorEastAsia"/>
                <w:kern w:val="2"/>
                <w:sz w:val="18"/>
                <w:szCs w:val="18"/>
                <w:lang w:val="en-US" w:eastAsia="ja-JP" w:bidi="ar-SA"/>
              </w:rPr>
            </w:pPr>
            <w:r>
              <w:rPr>
                <w:rFonts w:asciiTheme="minorEastAsia" w:hAnsiTheme="minorEastAsia" w:eastAsiaTheme="minorEastAsia"/>
                <w:sz w:val="21"/>
                <w:szCs w:val="21"/>
              </w:rPr>
              <w:t>位于</w:t>
            </w:r>
            <w:r>
              <w:rPr>
                <w:rFonts w:hint="eastAsia" w:asciiTheme="minorEastAsia" w:hAnsiTheme="minorEastAsia" w:eastAsiaTheme="minorEastAsia"/>
                <w:sz w:val="21"/>
                <w:szCs w:val="21"/>
              </w:rPr>
              <w:t>福</w:t>
            </w:r>
            <w:r>
              <w:rPr>
                <w:rFonts w:asciiTheme="minorEastAsia" w:hAnsiTheme="minorEastAsia" w:eastAsiaTheme="minorEastAsia"/>
                <w:sz w:val="21"/>
                <w:szCs w:val="21"/>
              </w:rPr>
              <w:t>建省中国（福建）自由贸易试验区厦门片区渔港东路12-1018、1019厦门连港宏贸易有限公司</w:t>
            </w:r>
            <w:r>
              <w:rPr>
                <w:rFonts w:hint="eastAsia" w:asciiTheme="minorEastAsia" w:hAnsiTheme="minorEastAsia" w:eastAsiaTheme="minorEastAsia"/>
                <w:sz w:val="21"/>
                <w:szCs w:val="21"/>
              </w:rPr>
              <w:t>分</w:t>
            </w:r>
            <w:r>
              <w:rPr>
                <w:rFonts w:asciiTheme="minorEastAsia" w:hAnsiTheme="minorEastAsia" w:eastAsiaTheme="minorEastAsia"/>
                <w:sz w:val="21"/>
                <w:szCs w:val="21"/>
              </w:rPr>
              <w:t>拣区的农副产品（水产品）的销售</w:t>
            </w:r>
            <w:r>
              <w:rPr>
                <w:rFonts w:hint="eastAsia" w:asciiTheme="minorEastAsia" w:hAnsiTheme="minorEastAsia" w:eastAsiaTheme="minorEastAsia"/>
                <w:sz w:val="21"/>
                <w:szCs w:val="21"/>
              </w:rPr>
              <w:t>。</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color w:val="0000FF"/>
          <w:lang w:val="en-US" w:eastAsia="zh-CN"/>
        </w:rPr>
      </w:pPr>
      <w:r>
        <w:rPr>
          <w:rFonts w:hint="eastAsia"/>
        </w:rPr>
        <w:t>三、任何影响审核方案的重要事项：</w:t>
      </w:r>
      <w:r>
        <w:rPr>
          <w:rFonts w:hint="eastAsia"/>
          <w:color w:val="0000FF"/>
          <w:lang w:eastAsia="zh-CN"/>
        </w:rPr>
        <w:t>——</w:t>
      </w:r>
      <w:r>
        <w:rPr>
          <w:rFonts w:hint="eastAsia"/>
          <w:color w:val="0000FF"/>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color w:val="0000FF"/>
          <w:lang w:eastAsia="zh-CN"/>
        </w:rPr>
        <w:t>——</w:t>
      </w:r>
      <w:r>
        <w:rPr>
          <w:rFonts w:hint="eastAsia"/>
          <w:color w:val="0000FF"/>
          <w:lang w:val="en-US" w:eastAsia="zh-CN"/>
        </w:rPr>
        <w:t>无</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color w:val="0000FF"/>
          <w:lang w:eastAsia="zh-CN"/>
        </w:rPr>
        <w:t>——</w:t>
      </w:r>
      <w:r>
        <w:rPr>
          <w:rFonts w:hint="eastAsia"/>
          <w:color w:val="0000FF"/>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0" w:name="范围变化"/>
            <w:bookmarkEnd w:id="40"/>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rFonts w:asciiTheme="minorEastAsia" w:hAnsiTheme="minorEastAsia" w:eastAsiaTheme="minorEastAsia"/>
                <w:sz w:val="21"/>
                <w:szCs w:val="21"/>
              </w:rPr>
              <w:t>位于</w:t>
            </w:r>
            <w:r>
              <w:rPr>
                <w:rFonts w:hint="eastAsia" w:asciiTheme="minorEastAsia" w:hAnsiTheme="minorEastAsia" w:eastAsiaTheme="minorEastAsia"/>
                <w:sz w:val="21"/>
                <w:szCs w:val="21"/>
              </w:rPr>
              <w:t>福</w:t>
            </w:r>
            <w:r>
              <w:rPr>
                <w:rFonts w:asciiTheme="minorEastAsia" w:hAnsiTheme="minorEastAsia" w:eastAsiaTheme="minorEastAsia"/>
                <w:sz w:val="21"/>
                <w:szCs w:val="21"/>
              </w:rPr>
              <w:t>建省中国（福建）自由贸易试验区厦门片区渔港东路12-1018、1019厦门连港宏贸易有限公司</w:t>
            </w:r>
            <w:r>
              <w:rPr>
                <w:rFonts w:hint="eastAsia" w:asciiTheme="minorEastAsia" w:hAnsiTheme="minorEastAsia" w:eastAsiaTheme="minorEastAsia"/>
                <w:sz w:val="21"/>
                <w:szCs w:val="21"/>
              </w:rPr>
              <w:t>分</w:t>
            </w:r>
            <w:r>
              <w:rPr>
                <w:rFonts w:asciiTheme="minorEastAsia" w:hAnsiTheme="minorEastAsia" w:eastAsiaTheme="minorEastAsia"/>
                <w:sz w:val="21"/>
                <w:szCs w:val="21"/>
              </w:rPr>
              <w:t>拣区的农副产品（水产品）的销售</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default"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eastAsia="zh-CN"/>
              </w:rPr>
              <w:t>——</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w:t>
            </w:r>
            <w:r>
              <w:rPr>
                <w:rFonts w:hint="eastAsia" w:ascii="宋体" w:hAnsi="宋体"/>
                <w:b/>
                <w:color w:val="0000FF"/>
                <w:spacing w:val="-10"/>
                <w:szCs w:val="21"/>
              </w:rPr>
              <w:sym w:font="Wingdings 2" w:char="0052"/>
            </w:r>
            <w:r>
              <w:rPr>
                <w:rFonts w:hint="eastAsia" w:ascii="宋体" w:hAnsi="宋体"/>
                <w:b/>
                <w:color w:val="0000FF"/>
                <w:spacing w:val="-10"/>
                <w:szCs w:val="21"/>
              </w:rPr>
              <w:t>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1076960" cy="623570"/>
                  <wp:effectExtent l="0" t="0" r="2540" b="1143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1076960" cy="62357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2022-07-28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shd w:val="clear" w:color="auto" w:fill="EBF1DE" w:themeFill="accent3" w:themeFillTint="32"/>
          </w:tcPr>
          <w:p>
            <w:pPr>
              <w:shd w:val="clear" w:color="auto"/>
            </w:pPr>
            <w:bookmarkStart w:id="41" w:name="_GoBack"/>
            <w:r>
              <w:rPr>
                <w:rFonts w:hint="eastAsia"/>
              </w:rPr>
              <w:t>审核周期</w:t>
            </w:r>
          </w:p>
        </w:tc>
        <w:tc>
          <w:tcPr>
            <w:tcW w:w="9282" w:type="dxa"/>
            <w:shd w:val="clear" w:color="auto" w:fill="EBF1DE" w:themeFill="accent3" w:themeFillTint="32"/>
          </w:tcPr>
          <w:p>
            <w:pPr>
              <w:shd w:val="clear" w:color="auto"/>
              <w:rPr>
                <w:rFonts w:hint="default" w:eastAsia="宋体"/>
                <w:lang w:val="en-US" w:eastAsia="zh-CN"/>
              </w:rPr>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 xml:space="preserve">定期（近一年）  </w:t>
            </w:r>
            <w:r>
              <w:rPr>
                <w:rFonts w:hint="eastAsia"/>
              </w:rPr>
              <w:sym w:font="Wingdings 2" w:char="00A3"/>
            </w:r>
            <w:r>
              <w:rPr>
                <w:rFonts w:hint="eastAsia"/>
              </w:rPr>
              <w:t>其他</w:t>
            </w:r>
            <w:r>
              <w:rPr>
                <w:rFonts w:hint="eastAsia"/>
                <w:lang w:eastAsia="zh-CN"/>
              </w:rPr>
              <w:t>——</w:t>
            </w:r>
            <w:r>
              <w:rPr>
                <w:rFonts w:hint="eastAsia"/>
                <w:lang w:val="en-US" w:eastAsia="zh-CN"/>
              </w:rPr>
              <w:t>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shd w:val="clear" w:color="auto" w:fill="EBF1DE" w:themeFill="accent3" w:themeFillTint="32"/>
          </w:tcPr>
          <w:p>
            <w:pPr>
              <w:shd w:val="clear" w:color="auto"/>
            </w:pPr>
            <w:r>
              <w:rPr>
                <w:rFonts w:hint="eastAsia"/>
              </w:rPr>
              <w:t>体系要素</w:t>
            </w:r>
          </w:p>
        </w:tc>
        <w:tc>
          <w:tcPr>
            <w:tcW w:w="9282" w:type="dxa"/>
            <w:shd w:val="clear" w:color="auto" w:fill="EBF1DE" w:themeFill="accent3" w:themeFillTint="32"/>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242" w:hRule="atLeast"/>
        </w:trPr>
        <w:tc>
          <w:tcPr>
            <w:tcW w:w="680" w:type="dxa"/>
            <w:vMerge w:val="restart"/>
            <w:shd w:val="clear" w:color="auto" w:fill="EBF1DE" w:themeFill="accent3" w:themeFillTint="32"/>
          </w:tcPr>
          <w:p>
            <w:pPr>
              <w:shd w:val="clear" w:color="auto"/>
            </w:pPr>
            <w:r>
              <w:rPr>
                <w:rFonts w:hint="eastAsia"/>
              </w:rPr>
              <w:t>组织环境</w:t>
            </w:r>
          </w:p>
        </w:tc>
        <w:tc>
          <w:tcPr>
            <w:tcW w:w="9282" w:type="dxa"/>
            <w:shd w:val="clear" w:color="auto" w:fill="EBF1DE" w:themeFill="accent3" w:themeFillTint="32"/>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hint="eastAsia"/>
                    </w:rPr>
                    <w:t xml:space="preserve">☑法律法规 </w:t>
                  </w:r>
                  <w:r>
                    <w:rPr>
                      <w:rFonts w:hint="eastAsia"/>
                    </w:rPr>
                    <w:sym w:font="Wingdings 2" w:char="00A3"/>
                  </w:r>
                  <w:r>
                    <w:rPr>
                      <w:rFonts w:hint="eastAsia"/>
                    </w:rPr>
                    <w:t>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t>□</w:t>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□工艺 ☑设备 ☑人员能力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其他</w:t>
                  </w:r>
                </w:p>
              </w:tc>
              <w:tc>
                <w:tcPr>
                  <w:tcW w:w="6912" w:type="dxa"/>
                </w:tcPr>
                <w:p>
                  <w:pPr>
                    <w:shd w:val="clear" w:color="auto"/>
                    <w:rPr>
                      <w:rFonts w:hint="eastAsia" w:eastAsia="宋体"/>
                      <w:lang w:val="en-US" w:eastAsia="zh-CN"/>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pPr>
            <w:r>
              <w:rPr>
                <w:rFonts w:hint="eastAsia"/>
              </w:rPr>
              <w:sym w:font="Wingdings 2" w:char="00A3"/>
            </w:r>
            <w:r>
              <w:rPr>
                <w:rFonts w:hint="eastAsia"/>
              </w:rPr>
              <w:t xml:space="preserve">特种设备管理 ☑控制措施组合确认  ☑PRP和危害控制措施的效果验证  </w:t>
            </w:r>
            <w:r>
              <w:rPr>
                <w:rFonts w:ascii="Segoe UI Symbol" w:hAnsi="Segoe UI Symbol" w:cs="Segoe UI Symbol"/>
              </w:rPr>
              <w:t>☑</w:t>
            </w:r>
            <w:r>
              <w:rPr>
                <w:rFonts w:hint="eastAsia"/>
              </w:rPr>
              <w:t>其他——车辆管理</w:t>
            </w:r>
          </w:p>
          <w:p>
            <w:pPr>
              <w:shd w:val="clear" w:color="auto"/>
              <w:spacing w:before="40" w:after="40"/>
            </w:pPr>
          </w:p>
          <w:p>
            <w:pPr>
              <w:shd w:val="clear" w:color="auto"/>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hd w:val="clea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pStyle w:val="2"/>
              <w:shd w:val="clear"/>
              <w:ind w:left="0" w:leftChars="0" w:firstLine="0" w:firstLineChars="0"/>
              <w:rPr>
                <w:rFonts w:hint="eastAsia"/>
                <w:lang w:val="en-GB"/>
              </w:rPr>
            </w:pP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92" w:hRule="atLeast"/>
        </w:trPr>
        <w:tc>
          <w:tcPr>
            <w:tcW w:w="680" w:type="dxa"/>
            <w:vMerge w:val="restart"/>
            <w:shd w:val="clear" w:color="auto" w:fill="EBF1DE" w:themeFill="accent3" w:themeFillTint="32"/>
          </w:tcPr>
          <w:p>
            <w:pPr>
              <w:shd w:val="clear" w:color="auto"/>
            </w:pPr>
            <w:r>
              <w:rPr>
                <w:rFonts w:hint="eastAsia"/>
              </w:rPr>
              <w:t>领导作用</w:t>
            </w:r>
          </w:p>
        </w:tc>
        <w:tc>
          <w:tcPr>
            <w:tcW w:w="9282" w:type="dxa"/>
            <w:shd w:val="clear" w:color="auto" w:fill="EBF1DE" w:themeFill="accent3" w:themeFillTint="32"/>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rFonts w:hint="eastAsia"/>
              </w:rPr>
            </w:pPr>
            <w:r>
              <w:rPr>
                <w:rFonts w:hint="eastAsia"/>
              </w:rPr>
              <w:t>最高管理者制定了文件化的食品安全管理体系方针：</w:t>
            </w:r>
          </w:p>
          <w:p>
            <w:pPr>
              <w:pStyle w:val="15"/>
              <w:shd w:val="clear"/>
              <w:rPr>
                <w:rFonts w:hint="eastAsia"/>
              </w:rPr>
            </w:pPr>
          </w:p>
          <w:p>
            <w:pPr>
              <w:shd w:val="clear"/>
              <w:ind w:firstLine="420"/>
              <w:rPr>
                <w:szCs w:val="22"/>
                <w:u w:val="single"/>
              </w:rPr>
            </w:pPr>
            <w:r>
              <w:rPr>
                <w:rFonts w:hint="eastAsia"/>
                <w:color w:val="0000FF"/>
                <w:szCs w:val="22"/>
                <w:u w:val="single"/>
              </w:rPr>
              <w:t>优质服务，及时配送，保证配送的食品安全；持续改进，顾客满意。</w:t>
            </w:r>
          </w:p>
          <w:p>
            <w:pPr>
              <w:shd w:val="clear" w:color="auto"/>
              <w:rPr>
                <w:rFonts w:hint="eastAsia"/>
                <w:b/>
                <w:bCs/>
                <w:highlight w:val="yellow"/>
                <w:u w:val="single"/>
              </w:rPr>
            </w:pPr>
          </w:p>
          <w:p>
            <w:pPr>
              <w:shd w:val="clear" w:color="auto"/>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rFonts w:hint="eastAsia"/>
              </w:rPr>
              <w:t>最高管理者确定了组织架构及相关岗位的职责、权限，并进行了全员的沟通和理解；</w:t>
            </w:r>
          </w:p>
          <w:p>
            <w:pPr>
              <w:shd w:val="clear" w:color="auto"/>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蔡欢  </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534" w:hRule="atLeast"/>
        </w:trPr>
        <w:tc>
          <w:tcPr>
            <w:tcW w:w="680" w:type="dxa"/>
            <w:vMerge w:val="restart"/>
            <w:shd w:val="clear" w:color="auto" w:fill="EBF1DE" w:themeFill="accent3" w:themeFillTint="32"/>
          </w:tcPr>
          <w:p>
            <w:pPr>
              <w:shd w:val="clear" w:color="auto"/>
            </w:pPr>
            <w:r>
              <w:rPr>
                <w:rFonts w:hint="eastAsia"/>
              </w:rPr>
              <w:t>策划</w:t>
            </w:r>
          </w:p>
        </w:tc>
        <w:tc>
          <w:tcPr>
            <w:tcW w:w="9282" w:type="dxa"/>
            <w:shd w:val="clear" w:color="auto" w:fill="EBF1DE" w:themeFill="accent3" w:themeFillTint="32"/>
          </w:tcPr>
          <w:p>
            <w:pPr>
              <w:shd w:val="clear" w:color="auto"/>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主要的风险描述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r>
                    <w:rPr>
                      <w:rFonts w:hint="eastAsia"/>
                      <w:szCs w:val="24"/>
                    </w:rPr>
                    <w:t>受新冠疫情影响，客户对水产品类食材的质量和食品安全要求越来越高</w:t>
                  </w:r>
                </w:p>
              </w:tc>
              <w:tc>
                <w:tcPr>
                  <w:tcW w:w="3965" w:type="dxa"/>
                  <w:vAlign w:val="top"/>
                </w:tcPr>
                <w:p>
                  <w:pPr>
                    <w:shd w:val="clear"/>
                    <w:rPr>
                      <w:rFonts w:hint="default" w:ascii="Times New Roman" w:hAnsi="Times New Roman" w:eastAsia="宋体" w:cs="Times New Roman"/>
                      <w:kern w:val="2"/>
                      <w:sz w:val="21"/>
                      <w:szCs w:val="24"/>
                      <w:lang w:val="en-US" w:eastAsia="zh-CN" w:bidi="ar-SA"/>
                    </w:rPr>
                  </w:pPr>
                  <w:r>
                    <w:rPr>
                      <w:rFonts w:hint="eastAsia"/>
                    </w:rPr>
                    <w:t>严格控制供方，索证齐全，储存和运输按照规定控制，配送品质检验</w:t>
                  </w:r>
                </w:p>
              </w:tc>
              <w:tc>
                <w:tcPr>
                  <w:tcW w:w="1717" w:type="dxa"/>
                  <w:vAlign w:val="top"/>
                </w:tcPr>
                <w:p>
                  <w:pPr>
                    <w:shd w:val="clear"/>
                    <w:rPr>
                      <w:rFonts w:hint="default" w:ascii="Times New Roman" w:hAnsi="Times New Roman" w:eastAsia="宋体" w:cs="Times New Roman"/>
                      <w:kern w:val="2"/>
                      <w:sz w:val="21"/>
                      <w:szCs w:val="24"/>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hd w:val="clear"/>
                    <w:jc w:val="left"/>
                    <w:textAlignment w:val="center"/>
                    <w:rPr>
                      <w:rFonts w:hint="eastAsia" w:ascii="Times New Roman" w:hAnsi="Times New Roman" w:eastAsia="宋体" w:cs="Times New Roman"/>
                      <w:kern w:val="2"/>
                      <w:sz w:val="21"/>
                      <w:szCs w:val="24"/>
                      <w:lang w:val="en-US" w:eastAsia="zh-CN" w:bidi="ar-SA"/>
                    </w:rPr>
                  </w:pPr>
                  <w:r>
                    <w:rPr>
                      <w:rFonts w:hint="eastAsia"/>
                      <w:szCs w:val="24"/>
                    </w:rPr>
                    <w:t>疫情影响市场和客户的消费能力</w:t>
                  </w:r>
                </w:p>
              </w:tc>
              <w:tc>
                <w:tcPr>
                  <w:tcW w:w="3965" w:type="dxa"/>
                  <w:vAlign w:val="center"/>
                </w:tcPr>
                <w:p>
                  <w:pPr>
                    <w:widowControl/>
                    <w:shd w:val="clear"/>
                    <w:jc w:val="left"/>
                    <w:textAlignment w:val="center"/>
                    <w:rPr>
                      <w:rFonts w:hint="eastAsia" w:ascii="Times New Roman" w:hAnsi="Times New Roman" w:eastAsia="宋体" w:cs="Times New Roman"/>
                      <w:kern w:val="2"/>
                      <w:sz w:val="21"/>
                      <w:szCs w:val="24"/>
                      <w:lang w:val="en-US" w:eastAsia="zh-CN" w:bidi="ar-SA"/>
                    </w:rPr>
                  </w:pPr>
                  <w:r>
                    <w:rPr>
                      <w:rFonts w:hint="eastAsia"/>
                    </w:rPr>
                    <w:t>合理控制成本和费用</w:t>
                  </w:r>
                </w:p>
              </w:tc>
              <w:tc>
                <w:tcPr>
                  <w:tcW w:w="1717" w:type="dxa"/>
                  <w:vAlign w:val="top"/>
                </w:tcPr>
                <w:p>
                  <w:pPr>
                    <w:shd w:val="clear"/>
                    <w:rPr>
                      <w:rFonts w:hint="eastAsia" w:ascii="Times New Roman" w:hAnsi="Times New Roman" w:eastAsia="宋体" w:cs="Times New Roman"/>
                      <w:kern w:val="2"/>
                      <w:sz w:val="21"/>
                      <w:szCs w:val="24"/>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eastAsia"/>
                      <w:szCs w:val="24"/>
                      <w:lang w:val="en-US" w:eastAsia="zh-CN"/>
                    </w:rPr>
                  </w:pPr>
                </w:p>
              </w:tc>
              <w:tc>
                <w:tcPr>
                  <w:tcW w:w="3965" w:type="dxa"/>
                  <w:vAlign w:val="top"/>
                </w:tcPr>
                <w:p>
                  <w:pPr>
                    <w:pStyle w:val="15"/>
                    <w:numPr>
                      <w:ilvl w:val="0"/>
                      <w:numId w:val="0"/>
                    </w:numPr>
                    <w:shd w:val="clear"/>
                    <w:ind w:leftChars="0"/>
                    <w:rPr>
                      <w:rFonts w:hint="eastAsia"/>
                      <w:lang w:val="en-US" w:eastAsia="zh-CN"/>
                    </w:rPr>
                  </w:pPr>
                </w:p>
              </w:tc>
              <w:tc>
                <w:tcPr>
                  <w:tcW w:w="1717" w:type="dxa"/>
                  <w:vAlign w:val="top"/>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主要的机遇描述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核心客户主要为高档酒店，客户较稳定，客户对产品的新颖化程度要求越来越高</w:t>
                  </w:r>
                </w:p>
              </w:tc>
              <w:tc>
                <w:tcPr>
                  <w:tcW w:w="3965" w:type="dxa"/>
                  <w:vAlign w:val="top"/>
                </w:tcPr>
                <w:p>
                  <w:pPr>
                    <w:numPr>
                      <w:ilvl w:val="0"/>
                      <w:numId w:val="2"/>
                    </w:numPr>
                    <w:shd w:val="clear"/>
                    <w:rPr>
                      <w:sz w:val="18"/>
                      <w:szCs w:val="18"/>
                    </w:rPr>
                  </w:pPr>
                  <w:r>
                    <w:rPr>
                      <w:rFonts w:hint="eastAsia"/>
                      <w:sz w:val="18"/>
                      <w:szCs w:val="18"/>
                    </w:rPr>
                    <w:t>建立食品安全管理制度、规范化管理、对人员培训，提升管理能力。</w:t>
                  </w:r>
                </w:p>
                <w:p>
                  <w:pPr>
                    <w:pStyle w:val="2"/>
                    <w:numPr>
                      <w:ilvl w:val="0"/>
                      <w:numId w:val="2"/>
                    </w:numPr>
                    <w:shd w:val="clear"/>
                    <w:tabs>
                      <w:tab w:val="left" w:pos="540"/>
                    </w:tabs>
                    <w:ind w:left="0" w:leftChars="0" w:firstLine="0" w:firstLineChars="0"/>
                    <w:rPr>
                      <w:rFonts w:hint="default" w:ascii="Times New Roman" w:hAnsi="Times New Roman" w:eastAsia="宋体" w:cs="Times New Roman"/>
                      <w:b/>
                      <w:kern w:val="0"/>
                      <w:sz w:val="18"/>
                      <w:szCs w:val="18"/>
                      <w:lang w:val="en-US" w:eastAsia="zh-CN" w:bidi="ar-SA"/>
                    </w:rPr>
                  </w:pPr>
                  <w:r>
                    <w:rPr>
                      <w:rFonts w:hint="eastAsia"/>
                      <w:sz w:val="18"/>
                      <w:szCs w:val="18"/>
                    </w:rPr>
                    <w:t>经验丰富、对水产类产品的上市期了解</w:t>
                  </w:r>
                </w:p>
              </w:tc>
              <w:tc>
                <w:tcPr>
                  <w:tcW w:w="1717" w:type="dxa"/>
                  <w:vAlign w:val="top"/>
                </w:tcPr>
                <w:p>
                  <w:pPr>
                    <w:shd w:val="clear"/>
                    <w:rPr>
                      <w:rFonts w:ascii="宋体" w:hAnsi="宋体" w:eastAsia="宋体" w:cs="宋体"/>
                      <w:color w:val="000000"/>
                      <w:kern w:val="0"/>
                      <w:sz w:val="20"/>
                      <w:szCs w:val="24"/>
                      <w:lang w:val="en-US" w:eastAsia="zh-CN" w:bidi="ar-SA"/>
                    </w:rPr>
                  </w:pPr>
                  <w:r>
                    <w:rPr>
                      <w:rFonts w:hint="eastAsia" w:ascii="宋体" w:hAnsi="宋体" w:cs="宋体"/>
                      <w:color w:val="000000"/>
                      <w:kern w:val="0"/>
                      <w:sz w:val="20"/>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r>
                    <w:rPr>
                      <w:rFonts w:hint="eastAsia"/>
                      <w:szCs w:val="24"/>
                    </w:rPr>
                    <w:t>所在客户群体较为稳定</w:t>
                  </w:r>
                </w:p>
              </w:tc>
              <w:tc>
                <w:tcPr>
                  <w:tcW w:w="3965" w:type="dxa"/>
                  <w:vAlign w:val="top"/>
                </w:tcPr>
                <w:p>
                  <w:pPr>
                    <w:shd w:val="clear"/>
                    <w:rPr>
                      <w:rFonts w:hint="eastAsia" w:ascii="Times New Roman" w:hAnsi="Times New Roman" w:eastAsia="宋体" w:cs="Times New Roman"/>
                      <w:kern w:val="2"/>
                      <w:sz w:val="21"/>
                      <w:szCs w:val="24"/>
                      <w:lang w:val="en-US" w:eastAsia="zh-CN" w:bidi="ar-SA"/>
                    </w:rPr>
                  </w:pPr>
                  <w:r>
                    <w:rPr>
                      <w:rFonts w:hint="eastAsia"/>
                    </w:rPr>
                    <w:t>提供更为优质服务，进一步巩固客户群体</w:t>
                  </w:r>
                </w:p>
              </w:tc>
              <w:tc>
                <w:tcPr>
                  <w:tcW w:w="1717" w:type="dxa"/>
                  <w:vAlign w:val="top"/>
                </w:tcPr>
                <w:p>
                  <w:pPr>
                    <w:shd w:val="clear"/>
                    <w:rPr>
                      <w:rFonts w:ascii="Times New Roman" w:hAnsi="Times New Roman" w:eastAsia="宋体" w:cs="Times New Roman"/>
                      <w:kern w:val="2"/>
                      <w:sz w:val="21"/>
                      <w:szCs w:val="24"/>
                      <w:lang w:val="en-US" w:eastAsia="zh-CN" w:bidi="ar-SA"/>
                    </w:rPr>
                  </w:pPr>
                  <w:r>
                    <w:rPr>
                      <w:rFonts w:hint="eastAsia"/>
                    </w:rPr>
                    <w:t>基本有效</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rPr>
                <w:rFonts w:hint="eastAsia"/>
              </w:rPr>
            </w:pPr>
            <w:r>
              <w:rPr>
                <w:rFonts w:hint="eastAsia"/>
              </w:rPr>
              <w:t>总食品安全目标实现情况的评价，及其测量方法是：</w:t>
            </w:r>
          </w:p>
          <w:p>
            <w:pPr>
              <w:pStyle w:val="6"/>
              <w:shd w:val="clear"/>
              <w:rPr>
                <w:rFonts w:hint="eastAsia"/>
              </w:rPr>
            </w:pPr>
          </w:p>
          <w:tbl>
            <w:tblPr>
              <w:tblStyle w:val="11"/>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1090"/>
              <w:gridCol w:w="2868"/>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48" w:type="dxa"/>
                  <w:shd w:val="clear" w:color="auto" w:fill="auto"/>
                </w:tcPr>
                <w:p>
                  <w:pPr>
                    <w:shd w:val="clear"/>
                    <w:rPr>
                      <w:rFonts w:ascii="宋体" w:hAnsi="宋体"/>
                      <w:szCs w:val="21"/>
                    </w:rPr>
                  </w:pPr>
                  <w:r>
                    <w:rPr>
                      <w:rFonts w:hint="eastAsia" w:ascii="宋体" w:hAnsi="宋体"/>
                      <w:szCs w:val="21"/>
                    </w:rPr>
                    <w:t>食品安全目标</w:t>
                  </w:r>
                </w:p>
              </w:tc>
              <w:tc>
                <w:tcPr>
                  <w:tcW w:w="1090" w:type="dxa"/>
                  <w:shd w:val="clear" w:color="auto" w:fill="auto"/>
                </w:tcPr>
                <w:p>
                  <w:pPr>
                    <w:shd w:val="clear"/>
                    <w:rPr>
                      <w:rFonts w:ascii="宋体" w:hAnsi="宋体"/>
                      <w:szCs w:val="21"/>
                    </w:rPr>
                  </w:pPr>
                  <w:r>
                    <w:rPr>
                      <w:rFonts w:hint="eastAsia" w:ascii="宋体" w:hAnsi="宋体"/>
                      <w:szCs w:val="21"/>
                    </w:rPr>
                    <w:t>计算方法</w:t>
                  </w:r>
                </w:p>
              </w:tc>
              <w:tc>
                <w:tcPr>
                  <w:tcW w:w="2868" w:type="dxa"/>
                  <w:shd w:val="clear" w:color="auto" w:fill="auto"/>
                </w:tcPr>
                <w:p>
                  <w:pPr>
                    <w:shd w:val="clear"/>
                    <w:rPr>
                      <w:rFonts w:ascii="宋体" w:hAnsi="宋体"/>
                      <w:szCs w:val="21"/>
                    </w:rPr>
                  </w:pPr>
                  <w:r>
                    <w:rPr>
                      <w:rFonts w:hint="eastAsia" w:ascii="宋体" w:hAnsi="宋体"/>
                      <w:szCs w:val="21"/>
                    </w:rPr>
                    <w:t>责任部门</w:t>
                  </w:r>
                </w:p>
              </w:tc>
              <w:tc>
                <w:tcPr>
                  <w:tcW w:w="2332" w:type="dxa"/>
                  <w:shd w:val="clear" w:color="auto" w:fill="auto"/>
                  <w:vAlign w:val="top"/>
                </w:tcPr>
                <w:p>
                  <w:pPr>
                    <w:widowControl/>
                    <w:shd w:val="clear"/>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完成情况</w:t>
                  </w:r>
                  <w:r>
                    <w:rPr>
                      <w:rFonts w:hint="eastAsia" w:ascii="宋体" w:hAnsi="宋体"/>
                      <w:szCs w:val="24"/>
                    </w:rPr>
                    <w:t>（2021.</w:t>
                  </w:r>
                  <w:r>
                    <w:rPr>
                      <w:rFonts w:ascii="宋体" w:hAnsi="宋体"/>
                      <w:szCs w:val="24"/>
                    </w:rPr>
                    <w:t>07</w:t>
                  </w:r>
                  <w:r>
                    <w:rPr>
                      <w:rFonts w:hint="eastAsia" w:ascii="宋体" w:hAnsi="宋体"/>
                      <w:szCs w:val="24"/>
                    </w:rPr>
                    <w:t>-202</w:t>
                  </w:r>
                  <w:r>
                    <w:rPr>
                      <w:rFonts w:ascii="宋体" w:hAnsi="宋体"/>
                      <w:szCs w:val="24"/>
                    </w:rPr>
                    <w:t>2</w:t>
                  </w:r>
                  <w:r>
                    <w:rPr>
                      <w:rFonts w:hint="eastAsia" w:ascii="宋体" w:hAnsi="宋体"/>
                      <w:szCs w:val="24"/>
                    </w:rPr>
                    <w:t>.0</w:t>
                  </w:r>
                  <w:r>
                    <w:rPr>
                      <w:rFonts w:ascii="宋体" w:hAnsi="宋体"/>
                      <w:szCs w:val="24"/>
                    </w:rPr>
                    <w:t>6</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748" w:type="dxa"/>
                  <w:shd w:val="clear" w:color="auto" w:fill="auto"/>
                  <w:vAlign w:val="center"/>
                </w:tcPr>
                <w:p>
                  <w:pPr>
                    <w:shd w:val="clear"/>
                    <w:spacing w:line="400" w:lineRule="exact"/>
                    <w:rPr>
                      <w:rFonts w:hint="eastAsia" w:ascii="宋体" w:hAnsi="宋体" w:eastAsia="宋体" w:cs="Times New Roman"/>
                      <w:bCs/>
                      <w:kern w:val="2"/>
                      <w:sz w:val="21"/>
                      <w:szCs w:val="21"/>
                      <w:lang w:val="en-US" w:eastAsia="zh-CN" w:bidi="ar-SA"/>
                    </w:rPr>
                  </w:pPr>
                  <w:r>
                    <w:rPr>
                      <w:rFonts w:hint="eastAsia" w:ascii="宋体" w:hAnsi="宋体"/>
                      <w:bCs/>
                      <w:szCs w:val="21"/>
                    </w:rPr>
                    <w:t>顾客满意度≥90分</w:t>
                  </w:r>
                </w:p>
              </w:tc>
              <w:tc>
                <w:tcPr>
                  <w:tcW w:w="1090" w:type="dxa"/>
                  <w:shd w:val="clear" w:color="auto" w:fill="auto"/>
                  <w:vAlign w:val="center"/>
                </w:tcPr>
                <w:p>
                  <w:pPr>
                    <w:shd w:val="clear"/>
                    <w:rPr>
                      <w:rFonts w:hint="default" w:ascii="Times New Roman" w:hAnsi="Times New Roman" w:eastAsia="宋体" w:cs="Times New Roman"/>
                      <w:kern w:val="2"/>
                      <w:sz w:val="21"/>
                      <w:szCs w:val="21"/>
                      <w:lang w:val="en-GB" w:eastAsia="zh-CN" w:bidi="ar-SA"/>
                    </w:rPr>
                  </w:pPr>
                  <w:r>
                    <w:rPr>
                      <w:rFonts w:hint="eastAsia"/>
                      <w:szCs w:val="21"/>
                    </w:rPr>
                    <w:t>每月</w:t>
                  </w:r>
                </w:p>
              </w:tc>
              <w:tc>
                <w:tcPr>
                  <w:tcW w:w="2868" w:type="dxa"/>
                  <w:shd w:val="clear" w:color="auto" w:fill="auto"/>
                  <w:vAlign w:val="center"/>
                </w:tcPr>
                <w:p>
                  <w:pPr>
                    <w:shd w:val="clear"/>
                    <w:rPr>
                      <w:rFonts w:hint="default" w:ascii="Times New Roman" w:hAnsi="Times New Roman" w:eastAsia="宋体" w:cs="Times New Roman"/>
                      <w:kern w:val="2"/>
                      <w:sz w:val="21"/>
                      <w:szCs w:val="21"/>
                      <w:lang w:val="en-GB" w:eastAsia="zh-CN" w:bidi="ar-SA"/>
                    </w:rPr>
                  </w:pPr>
                  <w:r>
                    <w:rPr>
                      <w:rFonts w:hint="eastAsia"/>
                      <w:szCs w:val="21"/>
                    </w:rPr>
                    <w:t>顾客满意度调查结果</w:t>
                  </w:r>
                </w:p>
              </w:tc>
              <w:tc>
                <w:tcPr>
                  <w:tcW w:w="2332" w:type="dxa"/>
                  <w:shd w:val="clear" w:color="auto" w:fill="auto"/>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9</w:t>
                  </w:r>
                  <w:r>
                    <w:rPr>
                      <w:color w:val="000000"/>
                      <w:szCs w:val="21"/>
                    </w:rPr>
                    <w:t>7</w:t>
                  </w:r>
                  <w:r>
                    <w:rPr>
                      <w:rFonts w:hint="eastAsia"/>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748" w:type="dxa"/>
                  <w:shd w:val="clear" w:color="auto" w:fill="auto"/>
                  <w:vAlign w:val="center"/>
                </w:tcPr>
                <w:p>
                  <w:pPr>
                    <w:shd w:val="clear"/>
                    <w:spacing w:line="400" w:lineRule="exact"/>
                    <w:rPr>
                      <w:rFonts w:hint="eastAsia" w:ascii="宋体" w:hAnsi="宋体" w:eastAsia="宋体" w:cs="Times New Roman"/>
                      <w:bCs/>
                      <w:kern w:val="2"/>
                      <w:sz w:val="21"/>
                      <w:szCs w:val="21"/>
                      <w:lang w:val="en-US" w:eastAsia="zh-CN" w:bidi="ar-SA"/>
                    </w:rPr>
                  </w:pPr>
                  <w:r>
                    <w:rPr>
                      <w:rFonts w:hint="eastAsia" w:ascii="宋体" w:hAnsi="宋体"/>
                      <w:bCs/>
                      <w:szCs w:val="21"/>
                    </w:rPr>
                    <w:t>食物中毒事故为0</w:t>
                  </w:r>
                </w:p>
              </w:tc>
              <w:tc>
                <w:tcPr>
                  <w:tcW w:w="1090"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每月</w:t>
                  </w:r>
                </w:p>
              </w:tc>
              <w:tc>
                <w:tcPr>
                  <w:tcW w:w="2868"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实际安全事故发生次数</w:t>
                  </w:r>
                </w:p>
              </w:tc>
              <w:tc>
                <w:tcPr>
                  <w:tcW w:w="2332" w:type="dxa"/>
                  <w:shd w:val="clear" w:color="auto" w:fill="auto"/>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748" w:type="dxa"/>
                  <w:shd w:val="clear" w:color="auto" w:fill="auto"/>
                  <w:vAlign w:val="center"/>
                </w:tcPr>
                <w:p>
                  <w:pPr>
                    <w:shd w:val="clear"/>
                    <w:spacing w:line="400" w:lineRule="exact"/>
                    <w:rPr>
                      <w:rFonts w:hint="eastAsia" w:ascii="宋体" w:hAnsi="宋体" w:eastAsia="宋体" w:cs="Times New Roman"/>
                      <w:bCs/>
                      <w:kern w:val="2"/>
                      <w:sz w:val="21"/>
                      <w:szCs w:val="21"/>
                      <w:lang w:val="zh-CN" w:eastAsia="zh-CN" w:bidi="ar-SA"/>
                    </w:rPr>
                  </w:pPr>
                  <w:r>
                    <w:rPr>
                      <w:rFonts w:hint="eastAsia" w:ascii="宋体" w:hAnsi="宋体"/>
                      <w:bCs/>
                      <w:szCs w:val="21"/>
                    </w:rPr>
                    <w:t>顾客投诉率≤5%</w:t>
                  </w:r>
                </w:p>
              </w:tc>
              <w:tc>
                <w:tcPr>
                  <w:tcW w:w="1090"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每月</w:t>
                  </w:r>
                </w:p>
              </w:tc>
              <w:tc>
                <w:tcPr>
                  <w:tcW w:w="2868"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顾客投诉次数/所有顾客总数×100%</w:t>
                  </w:r>
                </w:p>
              </w:tc>
              <w:tc>
                <w:tcPr>
                  <w:tcW w:w="2332" w:type="dxa"/>
                  <w:shd w:val="clear" w:color="auto" w:fill="auto"/>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color w:val="000000"/>
                      <w:szCs w:val="21"/>
                    </w:rPr>
                    <w:t>0</w:t>
                  </w:r>
                </w:p>
              </w:tc>
            </w:tr>
          </w:tbl>
          <w:p>
            <w:pPr>
              <w:pStyle w:val="2"/>
              <w:shd w:val="clear"/>
              <w:ind w:left="0" w:leftChars="0" w:firstLine="0" w:firstLineChars="0"/>
              <w:rPr>
                <w:rFonts w:hint="eastAsia"/>
              </w:rPr>
            </w:pPr>
          </w:p>
          <w:p>
            <w:pPr>
              <w:shd w:val="clear" w:color="auto"/>
              <w:rPr>
                <w:rFonts w:hint="eastAsia" w:eastAsia="宋体"/>
                <w:lang w:eastAsia="zh-CN"/>
              </w:rPr>
            </w:pPr>
            <w:r>
              <w:rPr>
                <w:rFonts w:hint="eastAsia"/>
              </w:rPr>
              <w:sym w:font="Wingdings 2" w:char="0052"/>
            </w:r>
            <w:r>
              <w:rPr>
                <w:rFonts w:hint="eastAsia"/>
              </w:rPr>
              <w:t>目标已实现</w:t>
            </w:r>
            <w:r>
              <w:rPr>
                <w:rFonts w:hint="eastAsia"/>
                <w:lang w:eastAsia="zh-CN"/>
              </w:rPr>
              <w:t>，</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rFonts w:hint="eastAsia" w:eastAsia="宋体"/>
                <w:color w:val="0000FF"/>
                <w:lang w:val="en-US" w:eastAsia="zh-CN"/>
              </w:rPr>
            </w:pPr>
            <w:r>
              <w:rPr>
                <w:rFonts w:hint="eastAsia"/>
              </w:rPr>
              <w:t>组织对相关管理体系进行变更时，变更应按所策划的方式实施；</w:t>
            </w:r>
            <w:r>
              <w:rPr>
                <w:rFonts w:hint="eastAsia"/>
                <w:color w:val="0000FF"/>
              </w:rPr>
              <w:t>审核周期内的重大变更有：</w:t>
            </w:r>
            <w:r>
              <w:rPr>
                <w:rFonts w:hint="eastAsia"/>
                <w:color w:val="0000FF"/>
                <w:lang w:val="en-US" w:eastAsia="zh-CN"/>
              </w:rPr>
              <w:t>无</w:t>
            </w:r>
          </w:p>
          <w:p>
            <w:pPr>
              <w:shd w:val="clear" w:color="auto"/>
              <w:spacing w:before="40" w:after="40"/>
              <w:rPr>
                <w:rFonts w:hint="default"/>
                <w:lang w:val="en-US" w:eastAsia="zh-CN"/>
              </w:rPr>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A3"/>
            </w:r>
            <w:r>
              <w:rPr>
                <w:rFonts w:hint="eastAsia"/>
              </w:rPr>
              <w:t>关键人员</w:t>
            </w:r>
            <w:r>
              <w:rPr>
                <w:rFonts w:hint="eastAsia"/>
                <w:lang w:val="en-US" w:eastAsia="zh-CN"/>
              </w:rPr>
              <w:t xml:space="preserve">  </w:t>
            </w: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680" w:type="dxa"/>
            <w:vMerge w:val="restart"/>
            <w:shd w:val="clear" w:color="auto" w:fill="EBF1DE" w:themeFill="accent3" w:themeFillTint="32"/>
          </w:tcPr>
          <w:p>
            <w:pPr>
              <w:shd w:val="clear" w:color="auto"/>
            </w:pPr>
            <w:r>
              <w:rPr>
                <w:rFonts w:hint="eastAsia"/>
              </w:rPr>
              <w:t>支持</w:t>
            </w:r>
          </w:p>
        </w:tc>
        <w:tc>
          <w:tcPr>
            <w:tcW w:w="9282" w:type="dxa"/>
            <w:shd w:val="clear" w:color="auto" w:fill="EBF1DE" w:themeFill="accent3" w:themeFillTint="32"/>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rFonts w:hint="eastAsia"/>
                <w:highlight w:val="none"/>
              </w:rPr>
            </w:pPr>
            <w:r>
              <w:rPr>
                <w:rFonts w:hint="eastAsia"/>
                <w:highlight w:val="none"/>
              </w:rPr>
              <w:t>组织应确定、提供并维护所需的基础设施情况：</w:t>
            </w:r>
          </w:p>
          <w:p>
            <w:pPr>
              <w:pStyle w:val="6"/>
              <w:shd w:val="clear"/>
              <w:rPr>
                <w:rFonts w:hint="eastAsia"/>
                <w:highlight w:val="none"/>
                <w:u w:val="single"/>
              </w:rPr>
            </w:pPr>
          </w:p>
          <w:p>
            <w:pPr>
              <w:shd w:val="clear"/>
              <w:jc w:val="left"/>
            </w:pPr>
            <w:r>
              <w:rPr>
                <w:rFonts w:hint="eastAsia"/>
              </w:rPr>
              <w:t>建筑面积</w:t>
            </w:r>
            <w:r>
              <w:rPr>
                <w:rFonts w:hint="eastAsia"/>
                <w:u w:val="single"/>
              </w:rPr>
              <w:t xml:space="preserve">  600</w:t>
            </w:r>
            <w:r>
              <w:rPr>
                <w:rFonts w:hint="eastAsia"/>
              </w:rPr>
              <w:t>平方米；分拣区</w:t>
            </w:r>
            <w:r>
              <w:rPr>
                <w:rFonts w:hint="eastAsia"/>
                <w:u w:val="single"/>
              </w:rPr>
              <w:t xml:space="preserve"> 1</w:t>
            </w:r>
            <w:r>
              <w:rPr>
                <w:u w:val="single"/>
              </w:rPr>
              <w:t xml:space="preserve"> </w:t>
            </w:r>
            <w:r>
              <w:rPr>
                <w:rFonts w:hint="eastAsia"/>
                <w:u w:val="single"/>
              </w:rPr>
              <w:t xml:space="preserve"> </w:t>
            </w:r>
            <w:r>
              <w:rPr>
                <w:rFonts w:hint="eastAsia"/>
              </w:rPr>
              <w:t>个；冷冻库</w:t>
            </w:r>
            <w:r>
              <w:rPr>
                <w:rFonts w:hint="eastAsia"/>
                <w:u w:val="single"/>
              </w:rPr>
              <w:t xml:space="preserve">  1  </w:t>
            </w:r>
            <w:r>
              <w:rPr>
                <w:rFonts w:hint="eastAsia"/>
              </w:rPr>
              <w:t>个；外租库</w:t>
            </w:r>
            <w:r>
              <w:rPr>
                <w:rFonts w:hint="eastAsia"/>
                <w:u w:val="single"/>
              </w:rPr>
              <w:t xml:space="preserve"> 0  </w:t>
            </w:r>
            <w:r>
              <w:rPr>
                <w:rFonts w:hint="eastAsia"/>
              </w:rPr>
              <w:t>个；实验室</w:t>
            </w:r>
            <w:r>
              <w:rPr>
                <w:rFonts w:hint="eastAsia"/>
                <w:u w:val="single"/>
              </w:rPr>
              <w:t xml:space="preserve">0 </w:t>
            </w:r>
            <w:r>
              <w:rPr>
                <w:rFonts w:hint="eastAsia"/>
              </w:rPr>
              <w:t>个；运货车辆</w:t>
            </w:r>
            <w:r>
              <w:rPr>
                <w:rFonts w:hint="eastAsia"/>
                <w:u w:val="single"/>
              </w:rPr>
              <w:t xml:space="preserve"> 8  </w:t>
            </w:r>
            <w:r>
              <w:rPr>
                <w:rFonts w:hint="eastAsia"/>
              </w:rPr>
              <w:t>辆</w:t>
            </w:r>
          </w:p>
          <w:p>
            <w:pPr>
              <w:shd w:val="clear"/>
              <w:jc w:val="left"/>
              <w:rPr>
                <w:u w:val="single"/>
              </w:rPr>
            </w:pPr>
            <w:r>
              <w:rPr>
                <w:rFonts w:hint="eastAsia"/>
              </w:rPr>
              <w:t>主要生产设备有：</w:t>
            </w:r>
            <w:r>
              <w:rPr>
                <w:rFonts w:hint="eastAsia" w:ascii="宋体" w:hAnsi="宋体"/>
                <w:u w:val="single"/>
              </w:rPr>
              <w:t>冷冻库、</w:t>
            </w:r>
            <w:r>
              <w:rPr>
                <w:rFonts w:hint="eastAsia"/>
                <w:u w:val="single"/>
              </w:rPr>
              <w:t>车辆   （列举2~4种）</w:t>
            </w:r>
          </w:p>
          <w:p>
            <w:pPr>
              <w:pStyle w:val="6"/>
              <w:shd w:val="clear"/>
              <w:rPr>
                <w:rFonts w:hint="eastAsia"/>
                <w:u w:val="single"/>
              </w:rPr>
            </w:pPr>
          </w:p>
          <w:p>
            <w:pPr>
              <w:shd w:val="clear" w:color="auto"/>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r>
              <w:rPr>
                <w:rFonts w:hint="eastAsia"/>
                <w:u w:val="single"/>
                <w:lang w:eastAsia="zh-CN"/>
              </w:rPr>
              <w:t>——</w:t>
            </w:r>
            <w:r>
              <w:rPr>
                <w:rFonts w:hint="eastAsia"/>
                <w:u w:val="single"/>
              </w:rPr>
              <w:t xml:space="preserve">          </w:t>
            </w:r>
          </w:p>
          <w:p>
            <w:pPr>
              <w:shd w:val="clear" w:color="auto"/>
            </w:pPr>
            <w:r>
              <w:rPr>
                <w:rFonts w:hint="eastAsia"/>
              </w:rPr>
              <w:sym w:font="Wingdings 2" w:char="0052"/>
            </w:r>
            <w:r>
              <w:rPr>
                <w:rFonts w:hint="eastAsia"/>
              </w:rPr>
              <w:t>组织</w:t>
            </w:r>
            <w:r>
              <w:t>现有</w:t>
            </w:r>
            <w:r>
              <w:rPr>
                <w:rFonts w:hint="eastAsia"/>
              </w:rPr>
              <w:t>基础设施可满足食品安全管理体系运行；</w:t>
            </w:r>
          </w:p>
          <w:p>
            <w:pPr>
              <w:shd w:val="clear" w:color="auto"/>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t xml:space="preserve">组织应确定、提供并维护所需的人为因素与物理因素环境，以实现与FSMS要求的一致性。 </w:t>
            </w:r>
          </w:p>
          <w:p>
            <w:pPr>
              <w:shd w:val="clear" w:color="auto"/>
            </w:pPr>
            <w:r>
              <w:rPr>
                <w:rFonts w:hint="eastAsia"/>
              </w:rPr>
              <w:sym w:font="Wingdings 2" w:char="0052"/>
            </w: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rFonts w:hint="eastAsia" w:eastAsia="宋体"/>
                <w:highlight w:val="none"/>
                <w:lang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w:t>
            </w:r>
            <w:r>
              <w:rPr>
                <w:rFonts w:hint="eastAsia"/>
                <w:highlight w:val="none"/>
                <w:lang w:val="en-US" w:eastAsia="zh-CN"/>
              </w:rPr>
              <w:t xml:space="preserve"> </w:t>
            </w:r>
            <w:r>
              <w:rPr>
                <w:rFonts w:hint="eastAsia"/>
                <w:highlight w:val="none"/>
              </w:rPr>
              <w:t xml:space="preserve">□委托加工  □产品运输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lang w:val="en-US" w:eastAsia="zh-CN"/>
              </w:rPr>
              <w:t>虫鼠害控制服务</w:t>
            </w:r>
            <w:r>
              <w:rPr>
                <w:rFonts w:hint="eastAsia"/>
                <w:highlight w:val="none"/>
                <w:lang w:eastAsia="zh-CN"/>
              </w:rPr>
              <w:t>）</w:t>
            </w:r>
          </w:p>
          <w:p>
            <w:pPr>
              <w:shd w:val="clea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strike w:val="0"/>
                <w:dstrike w:val="0"/>
                <w:szCs w:val="21"/>
                <w:highlight w:val="none"/>
                <w:u w:val="single"/>
                <w:lang w:val="en-US" w:eastAsia="zh-CN"/>
              </w:rPr>
              <w:t xml:space="preserve">13 </w:t>
            </w:r>
            <w:r>
              <w:rPr>
                <w:rFonts w:hint="eastAsia"/>
                <w:strike w:val="0"/>
                <w:dstrike w:val="0"/>
                <w:szCs w:val="21"/>
                <w:highlight w:val="none"/>
              </w:rPr>
              <w:t>家，例如：</w:t>
            </w:r>
          </w:p>
          <w:p>
            <w:pPr>
              <w:widowControl/>
              <w:numPr>
                <w:ilvl w:val="0"/>
                <w:numId w:val="3"/>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w:t>
            </w:r>
            <w:r>
              <w:rPr>
                <w:rFonts w:hint="eastAsia"/>
                <w:highlight w:val="none"/>
              </w:rPr>
              <w:t>青斑鱼</w:t>
            </w:r>
            <w:r>
              <w:rPr>
                <w:rFonts w:hint="eastAsia"/>
                <w:color w:val="000000"/>
                <w:kern w:val="0"/>
                <w:sz w:val="20"/>
                <w:highlight w:val="none"/>
                <w:lang w:eastAsia="zh-CN"/>
              </w:rPr>
              <w:t>【</w:t>
            </w:r>
            <w:r>
              <w:rPr>
                <w:rFonts w:hint="eastAsia"/>
                <w:highlight w:val="none"/>
              </w:rPr>
              <w:t>厦门鑫龙珠贸易有限公司</w:t>
            </w:r>
            <w:r>
              <w:rPr>
                <w:rFonts w:hint="eastAsia"/>
                <w:color w:val="000000"/>
                <w:kern w:val="0"/>
                <w:sz w:val="20"/>
                <w:highlight w:val="none"/>
                <w:lang w:eastAsia="zh-CN"/>
              </w:rPr>
              <w:t>】、</w:t>
            </w:r>
            <w:r>
              <w:rPr>
                <w:rFonts w:hint="eastAsia"/>
                <w:szCs w:val="20"/>
                <w:highlight w:val="none"/>
                <w:lang w:val="en-US" w:eastAsia="zh-CN"/>
              </w:rPr>
              <w:t>鲜活鱼类、海蛎等</w:t>
            </w:r>
            <w:r>
              <w:rPr>
                <w:rFonts w:hint="eastAsia"/>
                <w:highlight w:val="none"/>
                <w:lang w:eastAsia="zh-CN"/>
              </w:rPr>
              <w:t>【</w:t>
            </w:r>
            <w:r>
              <w:rPr>
                <w:rFonts w:hint="eastAsia"/>
                <w:highlight w:val="none"/>
                <w:lang w:val="en-US" w:eastAsia="zh-CN"/>
              </w:rPr>
              <w:t>厦门市湖里区杨天文水产品店</w:t>
            </w:r>
            <w:r>
              <w:rPr>
                <w:rFonts w:hint="eastAsia"/>
                <w:highlight w:val="none"/>
                <w:lang w:eastAsia="zh-CN"/>
              </w:rPr>
              <w:t>】、</w:t>
            </w:r>
            <w:r>
              <w:rPr>
                <w:rFonts w:hint="eastAsia"/>
                <w:szCs w:val="20"/>
                <w:highlight w:val="none"/>
              </w:rPr>
              <w:t>鲜活</w:t>
            </w:r>
            <w:r>
              <w:rPr>
                <w:rFonts w:hint="eastAsia"/>
                <w:szCs w:val="20"/>
                <w:highlight w:val="none"/>
                <w:lang w:val="en-US" w:eastAsia="zh-CN"/>
              </w:rPr>
              <w:t>鱼类等</w:t>
            </w:r>
            <w:r>
              <w:rPr>
                <w:rFonts w:hint="eastAsia"/>
                <w:highlight w:val="none"/>
                <w:lang w:eastAsia="zh-CN"/>
              </w:rPr>
              <w:t>【</w:t>
            </w:r>
            <w:r>
              <w:rPr>
                <w:rFonts w:hint="eastAsia"/>
                <w:highlight w:val="none"/>
              </w:rPr>
              <w:t>厦门市湖里区吴松森水产店</w:t>
            </w:r>
            <w:r>
              <w:rPr>
                <w:rFonts w:hint="eastAsia"/>
                <w:highlight w:val="none"/>
                <w:lang w:eastAsia="zh-CN"/>
              </w:rPr>
              <w:t>】、</w:t>
            </w:r>
            <w:r>
              <w:rPr>
                <w:rFonts w:hint="eastAsia"/>
                <w:szCs w:val="20"/>
                <w:highlight w:val="none"/>
                <w:lang w:val="en-US" w:eastAsia="zh-CN"/>
              </w:rPr>
              <w:t>鲜活鱼类等</w:t>
            </w:r>
            <w:r>
              <w:rPr>
                <w:rFonts w:hint="eastAsia"/>
                <w:highlight w:val="none"/>
              </w:rPr>
              <w:t>（厦门市湖里区蔡英勇水产店</w:t>
            </w:r>
            <w:r>
              <w:rPr>
                <w:rFonts w:hint="eastAsia"/>
                <w:highlight w:val="none"/>
                <w:lang w:val="en-US" w:eastAsia="zh-CN"/>
              </w:rPr>
              <w:t>】等</w:t>
            </w:r>
          </w:p>
          <w:p>
            <w:pPr>
              <w:widowControl/>
              <w:numPr>
                <w:ilvl w:val="0"/>
                <w:numId w:val="3"/>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3"/>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主要是塑料袋，少量，近期未采购，下次审核关注</w:t>
            </w:r>
          </w:p>
          <w:p>
            <w:pPr>
              <w:widowControl/>
              <w:numPr>
                <w:ilvl w:val="0"/>
                <w:numId w:val="3"/>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zCs w:val="20"/>
                <w:highlight w:val="none"/>
                <w:u w:val="single"/>
              </w:rPr>
              <w:t>厦门欣中洋汽车维修</w:t>
            </w:r>
            <w:r>
              <w:rPr>
                <w:rFonts w:hint="eastAsia"/>
                <w:szCs w:val="20"/>
                <w:highlight w:val="none"/>
                <w:u w:val="single"/>
                <w:lang w:val="en-US" w:eastAsia="zh-CN"/>
              </w:rPr>
              <w:t>厂</w:t>
            </w:r>
          </w:p>
          <w:p>
            <w:pPr>
              <w:widowControl/>
              <w:numPr>
                <w:ilvl w:val="0"/>
                <w:numId w:val="3"/>
              </w:numPr>
              <w:shd w:val="clear"/>
              <w:snapToGrid w:val="0"/>
              <w:spacing w:before="40" w:after="40" w:line="264" w:lineRule="auto"/>
              <w:ind w:left="570" w:leftChars="0" w:firstLineChars="0"/>
              <w:rPr>
                <w:strike w:val="0"/>
                <w:dstrike w:val="0"/>
                <w:color w:val="auto"/>
                <w:szCs w:val="21"/>
                <w:highlight w:val="none"/>
                <w:u w:val="single"/>
              </w:rPr>
            </w:pPr>
            <w:r>
              <w:rPr>
                <w:rFonts w:hint="eastAsia"/>
                <w:strike w:val="0"/>
                <w:dstrike w:val="0"/>
                <w:color w:val="auto"/>
                <w:szCs w:val="21"/>
                <w:highlight w:val="none"/>
              </w:rPr>
              <w:t>外包的供方——</w:t>
            </w:r>
            <w:r>
              <w:rPr>
                <w:rFonts w:hint="eastAsia" w:ascii="方正仿宋简体" w:eastAsia="方正仿宋简体"/>
                <w:b/>
                <w:color w:val="FF0000"/>
                <w:highlight w:val="none"/>
                <w:u w:val="single"/>
                <w:lang w:val="en-US" w:eastAsia="zh-CN"/>
              </w:rPr>
              <w:t>无</w:t>
            </w:r>
          </w:p>
          <w:p>
            <w:pPr>
              <w:shd w:val="clear" w:color="auto"/>
              <w:jc w:val="left"/>
              <w:rPr>
                <w:rFonts w:hint="eastAsia"/>
                <w:highlight w:val="none"/>
              </w:rPr>
            </w:pPr>
          </w:p>
          <w:p>
            <w:pPr>
              <w:shd w:val="clear" w:color="auto"/>
              <w:jc w:val="left"/>
              <w:rPr>
                <w:rFonts w:hint="default" w:eastAsia="宋体"/>
                <w:highlight w:val="yellow"/>
                <w:lang w:val="en-US" w:eastAsia="zh-CN"/>
              </w:rPr>
            </w:pPr>
            <w:r>
              <w:rPr>
                <w:rFonts w:hint="eastAsia"/>
                <w:highlight w:val="none"/>
              </w:rPr>
              <w:t>与外部供方评价的信息：</w:t>
            </w:r>
            <w:r>
              <w:rPr>
                <w:rFonts w:hint="eastAsia"/>
                <w:highlight w:val="none"/>
              </w:rPr>
              <w:sym w:font="Wingdings 2" w:char="00A3"/>
            </w:r>
            <w:r>
              <w:rPr>
                <w:rFonts w:hint="eastAsia"/>
                <w:highlight w:val="none"/>
              </w:rPr>
              <w:t xml:space="preserve">符合要求 </w:t>
            </w:r>
            <w:r>
              <w:rPr>
                <w:rFonts w:hint="eastAsia"/>
                <w:highlight w:val="none"/>
              </w:rPr>
              <w:sym w:font="Wingdings 2" w:char="0052"/>
            </w:r>
            <w:r>
              <w:rPr>
                <w:rFonts w:hint="eastAsia"/>
                <w:highlight w:val="none"/>
              </w:rPr>
              <w:t>存在不足，说明</w:t>
            </w:r>
            <w:r>
              <w:rPr>
                <w:rFonts w:hint="eastAsia"/>
                <w:highlight w:val="none"/>
                <w:u w:val="single"/>
              </w:rPr>
              <w:t xml:space="preserve"> </w:t>
            </w:r>
            <w:r>
              <w:rPr>
                <w:rFonts w:hint="eastAsia"/>
                <w:color w:val="FF0000"/>
                <w:highlight w:val="none"/>
                <w:u w:val="single"/>
              </w:rPr>
              <w:t xml:space="preserve">未将“厦门湖里区蔡英勇水产店”、“厦门市湖里区杨天文水产品店”、“吴松森水产店”列入合格供方，也未提供上述供方评价的证据，不符合《采购控制程序》的要求  </w:t>
            </w:r>
            <w:r>
              <w:rPr>
                <w:rFonts w:hint="eastAsia"/>
                <w:color w:val="FF0000"/>
                <w:highlight w:val="none"/>
                <w:u w:val="single"/>
                <w:lang w:val="en-US" w:eastAsia="zh-CN"/>
              </w:rPr>
              <w:t>见不符合项报告</w:t>
            </w:r>
            <w:r>
              <w:rPr>
                <w:rFonts w:hint="eastAsia"/>
                <w:color w:val="FF0000"/>
                <w:highlight w:val="none"/>
                <w:u w:val="single"/>
              </w:rPr>
              <w:t xml:space="preserve"> </w:t>
            </w:r>
            <w:r>
              <w:rPr>
                <w:rFonts w:hint="eastAsia"/>
                <w:color w:val="FF000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highlight w:val="none"/>
              </w:rPr>
            </w:pPr>
            <w:r>
              <w:rPr>
                <w:rFonts w:hint="eastAsia"/>
                <w:highlight w:val="none"/>
              </w:rPr>
              <w:t>组织已确定在其控制的工作人员所需具备的能力，并采取措施以获得所需的能力，并评价措施的有效性；</w:t>
            </w:r>
          </w:p>
          <w:p>
            <w:pPr>
              <w:shd w:val="clear" w:color="auto"/>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w:t>
            </w:r>
            <w:r>
              <w:rPr>
                <w:rFonts w:hint="eastAsia"/>
                <w:highlight w:val="none"/>
              </w:rPr>
              <w:sym w:font="Wingdings 2" w:char="0052"/>
            </w:r>
            <w:r>
              <w:rPr>
                <w:rFonts w:hint="eastAsia"/>
                <w:highlight w:val="none"/>
              </w:rPr>
              <w:t xml:space="preserve">考核   </w:t>
            </w:r>
            <w:r>
              <w:rPr>
                <w:rFonts w:hint="eastAsia"/>
                <w:highlight w:val="none"/>
              </w:rPr>
              <w:sym w:font="Wingdings 2" w:char="0052"/>
            </w:r>
            <w:r>
              <w:rPr>
                <w:rFonts w:hint="eastAsia"/>
                <w:highlight w:val="none"/>
              </w:rPr>
              <w:t xml:space="preserve">辅导 </w:t>
            </w:r>
            <w:r>
              <w:rPr>
                <w:rFonts w:hint="eastAsia"/>
                <w:highlight w:val="none"/>
              </w:rPr>
              <w:sym w:font="Wingdings 2" w:char="00A3"/>
            </w:r>
            <w:r>
              <w:rPr>
                <w:rFonts w:hint="eastAsia"/>
                <w:highlight w:val="none"/>
              </w:rPr>
              <w:t>其他</w:t>
            </w:r>
          </w:p>
          <w:p>
            <w:pPr>
              <w:shd w:val="clear" w:color="auto"/>
              <w:rPr>
                <w:highlight w:val="none"/>
              </w:rPr>
            </w:pPr>
            <w:r>
              <w:rPr>
                <w:rFonts w:hint="eastAsia"/>
                <w:highlight w:val="none"/>
              </w:rPr>
              <w:t>对国家规定持证上岗的人员资质进行了有效的管理。</w:t>
            </w:r>
          </w:p>
          <w:p>
            <w:pPr>
              <w:shd w:val="clear" w:color="auto"/>
              <w:rPr>
                <w:highlight w:val="none"/>
              </w:rPr>
            </w:pPr>
            <w:r>
              <w:rPr>
                <w:rFonts w:hint="eastAsia"/>
                <w:highlight w:val="none"/>
              </w:rPr>
              <w:t>特种作业人员：</w:t>
            </w:r>
            <w:r>
              <w:rPr>
                <w:rFonts w:hint="eastAsia"/>
                <w:highlight w:val="none"/>
              </w:rPr>
              <w:sym w:font="Wingdings 2" w:char="00A3"/>
            </w:r>
            <w:r>
              <w:rPr>
                <w:rFonts w:hint="eastAsia"/>
                <w:highlight w:val="none"/>
              </w:rPr>
              <w:t xml:space="preserve">电工 □焊工  □危化品作业  □制冷工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rFonts w:hint="eastAsia"/>
                <w:highlight w:val="none"/>
              </w:rPr>
            </w:pPr>
            <w:r>
              <w:rPr>
                <w:rFonts w:hint="eastAsia"/>
                <w:highlight w:val="none"/>
              </w:rPr>
              <w:t>确保与产品/服务接触的员工定期（近一年）进行了健康体检，并合格上岗。</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2460" w:type="dxa"/>
                </w:tcPr>
                <w:p>
                  <w:pPr>
                    <w:shd w:val="clear"/>
                    <w:rPr>
                      <w:highlight w:val="none"/>
                    </w:rPr>
                  </w:pPr>
                  <w:r>
                    <w:rPr>
                      <w:rFonts w:hint="eastAsia"/>
                      <w:highlight w:val="none"/>
                    </w:rPr>
                    <w:t>岗位</w:t>
                  </w:r>
                </w:p>
              </w:tc>
              <w:tc>
                <w:tcPr>
                  <w:tcW w:w="1110" w:type="dxa"/>
                </w:tcPr>
                <w:p>
                  <w:pPr>
                    <w:shd w:val="clear"/>
                    <w:rPr>
                      <w:highlight w:val="none"/>
                    </w:rPr>
                  </w:pPr>
                  <w:r>
                    <w:rPr>
                      <w:rFonts w:hint="eastAsia"/>
                      <w:highlight w:val="none"/>
                    </w:rPr>
                    <w:t>姓氏</w:t>
                  </w:r>
                </w:p>
              </w:tc>
              <w:tc>
                <w:tcPr>
                  <w:tcW w:w="2194" w:type="dxa"/>
                </w:tcPr>
                <w:p>
                  <w:pPr>
                    <w:shd w:val="clear"/>
                    <w:rPr>
                      <w:highlight w:val="none"/>
                    </w:rPr>
                  </w:pPr>
                  <w:r>
                    <w:rPr>
                      <w:rFonts w:hint="eastAsia"/>
                      <w:highlight w:val="none"/>
                    </w:rPr>
                    <w:t>健康证编号</w:t>
                  </w:r>
                </w:p>
              </w:tc>
              <w:tc>
                <w:tcPr>
                  <w:tcW w:w="1850" w:type="dxa"/>
                </w:tcPr>
                <w:p>
                  <w:pPr>
                    <w:shd w:val="clear"/>
                    <w:rPr>
                      <w:highlight w:val="none"/>
                    </w:rPr>
                  </w:pPr>
                  <w:r>
                    <w:rPr>
                      <w:rFonts w:hint="eastAsia"/>
                      <w:highlight w:val="none"/>
                    </w:rPr>
                    <w:t>有效期截止日期</w:t>
                  </w:r>
                </w:p>
              </w:tc>
              <w:tc>
                <w:tcPr>
                  <w:tcW w:w="1016" w:type="dxa"/>
                </w:tcPr>
                <w:p>
                  <w:pPr>
                    <w:shd w:val="clea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eastAsia" w:eastAsia="宋体"/>
                      <w:highlight w:val="none"/>
                      <w:lang w:eastAsia="zh-CN"/>
                    </w:rPr>
                  </w:pPr>
                  <w:r>
                    <w:rPr>
                      <w:rFonts w:hint="eastAsia"/>
                      <w:sz w:val="20"/>
                      <w:szCs w:val="18"/>
                      <w:highlight w:val="none"/>
                      <w:lang w:val="en-US" w:eastAsia="zh-CN"/>
                    </w:rPr>
                    <w:t>总经理</w:t>
                  </w:r>
                </w:p>
              </w:tc>
              <w:tc>
                <w:tcPr>
                  <w:tcW w:w="1110" w:type="dxa"/>
                </w:tcPr>
                <w:p>
                  <w:pPr>
                    <w:shd w:val="clear"/>
                    <w:rPr>
                      <w:rFonts w:hint="eastAsia" w:eastAsia="宋体"/>
                      <w:highlight w:val="none"/>
                      <w:lang w:eastAsia="zh-CN"/>
                    </w:rPr>
                  </w:pPr>
                  <w:r>
                    <w:rPr>
                      <w:rFonts w:hint="eastAsia"/>
                      <w:highlight w:val="none"/>
                      <w:lang w:val="en-US" w:eastAsia="zh-CN"/>
                    </w:rPr>
                    <w:t>肖慧婷</w:t>
                  </w:r>
                </w:p>
              </w:tc>
              <w:tc>
                <w:tcPr>
                  <w:tcW w:w="2194" w:type="dxa"/>
                </w:tcPr>
                <w:p>
                  <w:pPr>
                    <w:shd w:val="clear"/>
                    <w:rPr>
                      <w:rFonts w:hint="default" w:eastAsia="宋体"/>
                      <w:highlight w:val="none"/>
                      <w:lang w:val="en-US" w:eastAsia="zh-CN"/>
                    </w:rPr>
                  </w:pPr>
                  <w:r>
                    <w:rPr>
                      <w:rFonts w:hint="eastAsia"/>
                      <w:highlight w:val="none"/>
                    </w:rPr>
                    <w:t>闽（2021）15</w:t>
                  </w:r>
                  <w:r>
                    <w:rPr>
                      <w:highlight w:val="none"/>
                    </w:rPr>
                    <w:t>13</w:t>
                  </w:r>
                  <w:r>
                    <w:rPr>
                      <w:rFonts w:hint="eastAsia"/>
                      <w:highlight w:val="none"/>
                    </w:rPr>
                    <w:t>-</w:t>
                  </w:r>
                  <w:r>
                    <w:rPr>
                      <w:rFonts w:hint="eastAsia"/>
                      <w:highlight w:val="none"/>
                      <w:lang w:val="en-US" w:eastAsia="zh-CN"/>
                    </w:rPr>
                    <w:t>037310</w:t>
                  </w:r>
                </w:p>
              </w:tc>
              <w:tc>
                <w:tcPr>
                  <w:tcW w:w="1850" w:type="dxa"/>
                </w:tcPr>
                <w:p>
                  <w:pPr>
                    <w:shd w:val="clear"/>
                    <w:rPr>
                      <w:rFonts w:hint="default" w:eastAsia="宋体"/>
                      <w:highlight w:val="none"/>
                      <w:lang w:val="en-US" w:eastAsia="zh-CN"/>
                    </w:rPr>
                  </w:pPr>
                  <w:r>
                    <w:rPr>
                      <w:rFonts w:hint="eastAsia"/>
                      <w:highlight w:val="none"/>
                    </w:rPr>
                    <w:t>2</w:t>
                  </w:r>
                  <w:r>
                    <w:rPr>
                      <w:highlight w:val="none"/>
                    </w:rPr>
                    <w:t>022</w:t>
                  </w:r>
                  <w:r>
                    <w:rPr>
                      <w:rFonts w:hint="eastAsia"/>
                      <w:highlight w:val="none"/>
                    </w:rPr>
                    <w:t>-</w:t>
                  </w:r>
                  <w:r>
                    <w:rPr>
                      <w:highlight w:val="none"/>
                    </w:rPr>
                    <w:t>0</w:t>
                  </w:r>
                  <w:r>
                    <w:rPr>
                      <w:rFonts w:hint="eastAsia"/>
                      <w:highlight w:val="none"/>
                      <w:lang w:val="en-US" w:eastAsia="zh-CN"/>
                    </w:rPr>
                    <w:t>8-29</w:t>
                  </w:r>
                </w:p>
              </w:tc>
              <w:tc>
                <w:tcPr>
                  <w:tcW w:w="1016" w:type="dxa"/>
                </w:tcPr>
                <w:p>
                  <w:pPr>
                    <w:shd w:val="clea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tabs>
                      <w:tab w:val="center" w:pos="1122"/>
                    </w:tabs>
                    <w:rPr>
                      <w:rFonts w:hint="default" w:eastAsia="宋体"/>
                      <w:sz w:val="20"/>
                      <w:szCs w:val="18"/>
                      <w:highlight w:val="none"/>
                      <w:lang w:val="en-US" w:eastAsia="zh-CN"/>
                    </w:rPr>
                  </w:pPr>
                  <w:r>
                    <w:rPr>
                      <w:rFonts w:hint="eastAsia"/>
                      <w:sz w:val="20"/>
                      <w:szCs w:val="18"/>
                      <w:highlight w:val="none"/>
                      <w:lang w:val="en-US" w:eastAsia="zh-CN"/>
                    </w:rPr>
                    <w:t>综合部经理</w:t>
                  </w:r>
                </w:p>
              </w:tc>
              <w:tc>
                <w:tcPr>
                  <w:tcW w:w="1110" w:type="dxa"/>
                </w:tcPr>
                <w:p>
                  <w:pPr>
                    <w:shd w:val="clear"/>
                    <w:rPr>
                      <w:rFonts w:hint="eastAsia" w:eastAsia="宋体"/>
                      <w:highlight w:val="none"/>
                      <w:lang w:val="en-US" w:eastAsia="zh-CN"/>
                    </w:rPr>
                  </w:pPr>
                  <w:r>
                    <w:rPr>
                      <w:rFonts w:hint="eastAsia"/>
                      <w:highlight w:val="none"/>
                      <w:lang w:val="en-US" w:eastAsia="zh-CN"/>
                    </w:rPr>
                    <w:t>吴思婷</w:t>
                  </w:r>
                </w:p>
              </w:tc>
              <w:tc>
                <w:tcPr>
                  <w:tcW w:w="2194" w:type="dxa"/>
                </w:tcPr>
                <w:p>
                  <w:pPr>
                    <w:shd w:val="clear"/>
                    <w:rPr>
                      <w:rFonts w:hint="default" w:eastAsia="宋体"/>
                      <w:highlight w:val="none"/>
                      <w:lang w:val="en-US" w:eastAsia="zh-CN"/>
                    </w:rPr>
                  </w:pPr>
                  <w:r>
                    <w:rPr>
                      <w:rFonts w:hint="eastAsia"/>
                      <w:highlight w:val="none"/>
                    </w:rPr>
                    <w:t>闽（202</w:t>
                  </w:r>
                  <w:r>
                    <w:rPr>
                      <w:rFonts w:hint="eastAsia"/>
                      <w:highlight w:val="none"/>
                      <w:lang w:val="en-US" w:eastAsia="zh-CN"/>
                    </w:rPr>
                    <w:t>2</w:t>
                  </w:r>
                  <w:r>
                    <w:rPr>
                      <w:rFonts w:hint="eastAsia"/>
                      <w:highlight w:val="none"/>
                    </w:rPr>
                    <w:t>）15</w:t>
                  </w:r>
                  <w:r>
                    <w:rPr>
                      <w:rFonts w:hint="eastAsia"/>
                      <w:highlight w:val="none"/>
                      <w:lang w:val="en-US" w:eastAsia="zh-CN"/>
                    </w:rPr>
                    <w:t>13</w:t>
                  </w:r>
                  <w:r>
                    <w:rPr>
                      <w:rFonts w:hint="eastAsia"/>
                      <w:highlight w:val="none"/>
                    </w:rPr>
                    <w:t>-0</w:t>
                  </w:r>
                  <w:r>
                    <w:rPr>
                      <w:rFonts w:hint="eastAsia"/>
                      <w:highlight w:val="none"/>
                      <w:lang w:val="en-US" w:eastAsia="zh-CN"/>
                    </w:rPr>
                    <w:t>08087</w:t>
                  </w:r>
                </w:p>
              </w:tc>
              <w:tc>
                <w:tcPr>
                  <w:tcW w:w="1850" w:type="dxa"/>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3-03-11</w:t>
                  </w:r>
                </w:p>
              </w:tc>
              <w:tc>
                <w:tcPr>
                  <w:tcW w:w="1016" w:type="dxa"/>
                </w:tcPr>
                <w:p>
                  <w:pPr>
                    <w:shd w:val="clea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shd w:val="clear"/>
                    <w:rPr>
                      <w:highlight w:val="none"/>
                    </w:rPr>
                  </w:pPr>
                  <w:r>
                    <w:rPr>
                      <w:rFonts w:hint="eastAsia"/>
                      <w:highlight w:val="none"/>
                    </w:rPr>
                    <w:t>配送部司机</w:t>
                  </w:r>
                </w:p>
              </w:tc>
              <w:tc>
                <w:tcPr>
                  <w:tcW w:w="1110" w:type="dxa"/>
                </w:tcPr>
                <w:p>
                  <w:pPr>
                    <w:shd w:val="clear"/>
                    <w:rPr>
                      <w:highlight w:val="none"/>
                    </w:rPr>
                  </w:pPr>
                  <w:r>
                    <w:rPr>
                      <w:rFonts w:hint="eastAsia"/>
                      <w:highlight w:val="none"/>
                    </w:rPr>
                    <w:t>肖国斌</w:t>
                  </w:r>
                </w:p>
              </w:tc>
              <w:tc>
                <w:tcPr>
                  <w:tcW w:w="2194" w:type="dxa"/>
                </w:tcPr>
                <w:p>
                  <w:pPr>
                    <w:shd w:val="clear"/>
                    <w:rPr>
                      <w:rFonts w:hint="default" w:eastAsia="宋体"/>
                      <w:highlight w:val="none"/>
                      <w:lang w:val="en-US" w:eastAsia="zh-CN"/>
                    </w:rPr>
                  </w:pPr>
                  <w:r>
                    <w:rPr>
                      <w:rFonts w:hint="eastAsia"/>
                      <w:highlight w:val="none"/>
                    </w:rPr>
                    <w:t>闽（202</w:t>
                  </w:r>
                  <w:r>
                    <w:rPr>
                      <w:rFonts w:hint="eastAsia"/>
                      <w:highlight w:val="none"/>
                      <w:lang w:val="en-US" w:eastAsia="zh-CN"/>
                    </w:rPr>
                    <w:t>2</w:t>
                  </w:r>
                  <w:r>
                    <w:rPr>
                      <w:rFonts w:hint="eastAsia"/>
                      <w:highlight w:val="none"/>
                    </w:rPr>
                    <w:t>）15</w:t>
                  </w:r>
                  <w:r>
                    <w:rPr>
                      <w:rFonts w:hint="eastAsia"/>
                      <w:highlight w:val="none"/>
                      <w:lang w:val="en-US" w:eastAsia="zh-CN"/>
                    </w:rPr>
                    <w:t>1</w:t>
                  </w:r>
                  <w:r>
                    <w:rPr>
                      <w:rFonts w:hint="eastAsia"/>
                      <w:highlight w:val="none"/>
                    </w:rPr>
                    <w:t>3-00</w:t>
                  </w:r>
                  <w:r>
                    <w:rPr>
                      <w:rFonts w:hint="eastAsia"/>
                      <w:highlight w:val="none"/>
                      <w:lang w:val="en-US" w:eastAsia="zh-CN"/>
                    </w:rPr>
                    <w:t>9992</w:t>
                  </w:r>
                </w:p>
              </w:tc>
              <w:tc>
                <w:tcPr>
                  <w:tcW w:w="1850" w:type="dxa"/>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3-03-23</w:t>
                  </w:r>
                </w:p>
              </w:tc>
              <w:tc>
                <w:tcPr>
                  <w:tcW w:w="1016" w:type="dxa"/>
                </w:tcPr>
                <w:p>
                  <w:pPr>
                    <w:shd w:val="clea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shd w:val="clear"/>
                    <w:rPr>
                      <w:rFonts w:hint="eastAsia" w:eastAsia="宋体"/>
                      <w:highlight w:val="none"/>
                      <w:lang w:val="en-US" w:eastAsia="zh-CN"/>
                    </w:rPr>
                  </w:pPr>
                  <w:r>
                    <w:rPr>
                      <w:rFonts w:hint="eastAsia"/>
                      <w:highlight w:val="none"/>
                    </w:rPr>
                    <w:t>配送部</w:t>
                  </w:r>
                  <w:r>
                    <w:rPr>
                      <w:rFonts w:hint="eastAsia"/>
                      <w:highlight w:val="none"/>
                      <w:lang w:val="en-US" w:eastAsia="zh-CN"/>
                    </w:rPr>
                    <w:t>分拣</w:t>
                  </w:r>
                </w:p>
              </w:tc>
              <w:tc>
                <w:tcPr>
                  <w:tcW w:w="1110" w:type="dxa"/>
                </w:tcPr>
                <w:p>
                  <w:pPr>
                    <w:shd w:val="clear"/>
                    <w:rPr>
                      <w:rFonts w:hint="eastAsia" w:eastAsia="宋体"/>
                      <w:highlight w:val="none"/>
                      <w:lang w:val="en-US" w:eastAsia="zh-CN"/>
                    </w:rPr>
                  </w:pPr>
                  <w:r>
                    <w:rPr>
                      <w:rFonts w:hint="eastAsia"/>
                      <w:highlight w:val="none"/>
                      <w:lang w:val="en-US" w:eastAsia="zh-CN"/>
                    </w:rPr>
                    <w:t>林文贤</w:t>
                  </w:r>
                </w:p>
              </w:tc>
              <w:tc>
                <w:tcPr>
                  <w:tcW w:w="2194" w:type="dxa"/>
                </w:tcPr>
                <w:p>
                  <w:pPr>
                    <w:shd w:val="clear"/>
                    <w:rPr>
                      <w:rFonts w:hint="default" w:eastAsia="宋体"/>
                      <w:highlight w:val="none"/>
                      <w:lang w:val="en-US" w:eastAsia="zh-CN"/>
                    </w:rPr>
                  </w:pPr>
                  <w:r>
                    <w:rPr>
                      <w:rFonts w:hint="eastAsia"/>
                      <w:highlight w:val="none"/>
                    </w:rPr>
                    <w:t>闽（2021）1</w:t>
                  </w:r>
                  <w:r>
                    <w:rPr>
                      <w:rFonts w:hint="eastAsia"/>
                      <w:highlight w:val="none"/>
                      <w:lang w:val="en-US" w:eastAsia="zh-CN"/>
                    </w:rPr>
                    <w:t>513</w:t>
                  </w:r>
                  <w:r>
                    <w:rPr>
                      <w:rFonts w:hint="eastAsia"/>
                      <w:highlight w:val="none"/>
                    </w:rPr>
                    <w:t>-0</w:t>
                  </w:r>
                  <w:r>
                    <w:rPr>
                      <w:rFonts w:hint="eastAsia"/>
                      <w:highlight w:val="none"/>
                      <w:lang w:val="en-US" w:eastAsia="zh-CN"/>
                    </w:rPr>
                    <w:t>11032</w:t>
                  </w:r>
                </w:p>
              </w:tc>
              <w:tc>
                <w:tcPr>
                  <w:tcW w:w="1850" w:type="dxa"/>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3-04-01</w:t>
                  </w:r>
                </w:p>
              </w:tc>
              <w:tc>
                <w:tcPr>
                  <w:tcW w:w="1016" w:type="dxa"/>
                </w:tcPr>
                <w:p>
                  <w:pPr>
                    <w:shd w:val="clear"/>
                    <w:rPr>
                      <w:highlight w:val="none"/>
                    </w:rPr>
                  </w:pPr>
                  <w:r>
                    <w:rPr>
                      <w:rFonts w:hint="eastAsia"/>
                      <w:highlight w:val="none"/>
                    </w:rPr>
                    <w:t>有效</w:t>
                  </w:r>
                </w:p>
              </w:tc>
            </w:tr>
          </w:tbl>
          <w:p>
            <w:pPr>
              <w:pStyle w:val="6"/>
              <w:shd w:val="clear"/>
              <w:rPr>
                <w:rFonts w:hint="eastAsia"/>
                <w:highlight w:val="yellow"/>
              </w:rPr>
            </w:pPr>
          </w:p>
          <w:p>
            <w:pPr>
              <w:pStyle w:val="6"/>
              <w:shd w:val="clear"/>
              <w:rPr>
                <w:rFonts w:hint="eastAsia"/>
                <w:highlight w:val="yellow"/>
              </w:rPr>
            </w:pPr>
          </w:p>
          <w:p>
            <w:pPr>
              <w:shd w:val="clear" w:color="auto"/>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rPr>
                <w:highlight w:val="none"/>
              </w:rPr>
            </w:pPr>
            <w:r>
              <w:rPr>
                <w:rFonts w:hint="eastAsia"/>
                <w:highlight w:val="none"/>
              </w:rPr>
              <w:t>食品安全小组包括以下组员/职能：</w:t>
            </w:r>
          </w:p>
          <w:p>
            <w:pPr>
              <w:shd w:val="clear"/>
              <w:tabs>
                <w:tab w:val="left" w:pos="510"/>
              </w:tabs>
              <w:autoSpaceDE w:val="0"/>
              <w:autoSpaceDN w:val="0"/>
              <w:adjustRightInd w:val="0"/>
              <w:ind w:right="6"/>
              <w:rPr>
                <w:rFonts w:hint="default" w:eastAsia="宋体"/>
                <w:highlight w:val="none"/>
                <w:lang w:val="en-US" w:eastAsia="zh-CN"/>
              </w:rPr>
            </w:pPr>
            <w:r>
              <w:rPr>
                <w:rFonts w:hint="eastAsia"/>
                <w:highlight w:val="none"/>
              </w:rPr>
              <w:t>☑管理者代表 (食品安全小组组长) 、☑</w:t>
            </w:r>
            <w:r>
              <w:rPr>
                <w:rFonts w:hint="eastAsia"/>
                <w:highlight w:val="none"/>
                <w:lang w:val="en-US" w:eastAsia="zh-CN"/>
              </w:rPr>
              <w:t>配送部</w:t>
            </w:r>
            <w:r>
              <w:rPr>
                <w:rFonts w:hint="eastAsia"/>
                <w:highlight w:val="none"/>
              </w:rPr>
              <w:t xml:space="preserve">人员、 </w:t>
            </w:r>
            <w:r>
              <w:rPr>
                <w:rFonts w:hint="eastAsia"/>
                <w:highlight w:val="none"/>
                <w:lang w:eastAsia="zh-CN"/>
              </w:rPr>
              <w:t>□</w:t>
            </w:r>
            <w:r>
              <w:rPr>
                <w:rFonts w:hint="eastAsia"/>
                <w:highlight w:val="none"/>
                <w:lang w:val="en-US" w:eastAsia="zh-CN"/>
              </w:rPr>
              <w:t>综合办</w:t>
            </w:r>
            <w:r>
              <w:rPr>
                <w:rFonts w:hint="eastAsia"/>
                <w:highlight w:val="none"/>
              </w:rPr>
              <w:t>人员、</w:t>
            </w:r>
            <w:r>
              <w:rPr>
                <w:rFonts w:hint="eastAsia"/>
                <w:highlight w:val="none"/>
                <w:lang w:eastAsia="zh-CN"/>
              </w:rPr>
              <w:sym w:font="Wingdings 2" w:char="0052"/>
            </w:r>
            <w:r>
              <w:rPr>
                <w:rFonts w:hint="eastAsia"/>
                <w:highlight w:val="none"/>
                <w:lang w:val="en-US" w:eastAsia="zh-CN"/>
              </w:rPr>
              <w:t>综合部</w:t>
            </w:r>
            <w:r>
              <w:rPr>
                <w:rFonts w:hint="eastAsia"/>
                <w:highlight w:val="none"/>
              </w:rPr>
              <w:t>人员、</w:t>
            </w:r>
            <w:r>
              <w:rPr>
                <w:rFonts w:hint="eastAsia"/>
                <w:highlight w:val="none"/>
              </w:rPr>
              <w:sym w:font="Wingdings" w:char="00A8"/>
            </w:r>
            <w:r>
              <w:rPr>
                <w:rFonts w:hint="eastAsia"/>
                <w:highlight w:val="none"/>
                <w:lang w:val="en-US" w:eastAsia="zh-CN"/>
              </w:rPr>
              <w:t>客服部</w:t>
            </w:r>
            <w:r>
              <w:rPr>
                <w:rFonts w:hint="eastAsia"/>
                <w:highlight w:val="none"/>
              </w:rPr>
              <w:t>人员、</w:t>
            </w:r>
            <w:r>
              <w:rPr>
                <w:rFonts w:hint="eastAsia"/>
                <w:highlight w:val="none"/>
              </w:rPr>
              <w:sym w:font="Wingdings" w:char="00A8"/>
            </w:r>
            <w:r>
              <w:rPr>
                <w:rFonts w:hint="eastAsia"/>
                <w:highlight w:val="none"/>
                <w:lang w:val="en-US" w:eastAsia="zh-CN"/>
              </w:rPr>
              <w:t xml:space="preserve">业务部人员   </w:t>
            </w:r>
            <w:r>
              <w:rPr>
                <w:rFonts w:hint="eastAsia"/>
                <w:highlight w:val="none"/>
              </w:rPr>
              <w:t xml:space="preserve"> </w:t>
            </w:r>
            <w:r>
              <w:rPr>
                <w:rFonts w:hint="eastAsia"/>
                <w:highlight w:val="none"/>
              </w:rPr>
              <w:sym w:font="Wingdings" w:char="00A8"/>
            </w:r>
            <w:r>
              <w:rPr>
                <w:rFonts w:hint="eastAsia"/>
                <w:highlight w:val="none"/>
                <w:lang w:val="en-US" w:eastAsia="zh-CN"/>
              </w:rPr>
              <w:t>采购部人员</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5"/>
              <w:shd w:val="clear"/>
              <w:rPr>
                <w:rFonts w:hint="default" w:eastAsia="宋体"/>
                <w:lang w:val="en-US" w:eastAsia="zh-CN"/>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rFonts w:hint="eastAsia"/>
              </w:rPr>
              <w:t>组织已确定与食品安全管理体系相关的内部和外部沟通。</w:t>
            </w:r>
          </w:p>
          <w:p>
            <w:pPr>
              <w:shd w:val="clear" w:color="auto"/>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微信等</w:t>
            </w:r>
          </w:p>
          <w:p>
            <w:pPr>
              <w:shd w:val="clear" w:color="auto"/>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5"/>
              <w:shd w:val="clear"/>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restart"/>
            <w:shd w:val="clear" w:color="auto" w:fill="EBF1DE" w:themeFill="accent3" w:themeFillTint="32"/>
          </w:tcPr>
          <w:p>
            <w:pPr>
              <w:shd w:val="clear" w:color="auto"/>
            </w:pPr>
            <w:r>
              <w:rPr>
                <w:rFonts w:hint="eastAsia"/>
              </w:rPr>
              <w:t>运行</w:t>
            </w:r>
          </w:p>
        </w:tc>
        <w:tc>
          <w:tcPr>
            <w:tcW w:w="9282" w:type="dxa"/>
            <w:shd w:val="clear" w:color="auto" w:fill="EBF1DE" w:themeFill="accent3" w:themeFillTint="32"/>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sym w:font="Wingdings 2" w:char="00A3"/>
            </w:r>
            <w:r>
              <w:rPr>
                <w:rFonts w:hint="eastAsia"/>
              </w:rPr>
              <w:t xml:space="preserve">外包控制要求  </w:t>
            </w:r>
          </w:p>
          <w:p>
            <w:pPr>
              <w:shd w:val="clear" w:color="auto"/>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rPr>
                <w:highlight w:val="none"/>
              </w:rPr>
            </w:pPr>
          </w:p>
        </w:tc>
        <w:tc>
          <w:tcPr>
            <w:tcW w:w="9282" w:type="dxa"/>
            <w:shd w:val="clear" w:color="auto" w:fill="EBF1DE" w:themeFill="accent3" w:themeFillTint="32"/>
          </w:tcPr>
          <w:p>
            <w:pPr>
              <w:shd w:val="clear" w:color="auto"/>
              <w:rPr>
                <w:highlight w:val="none"/>
              </w:rPr>
            </w:pPr>
            <w:r>
              <w:rPr>
                <w:rFonts w:hint="eastAsia"/>
                <w:highlight w:val="none"/>
              </w:rPr>
              <w:t>组织建立、实施、保持和更新PRP，以便于防止和/或减少产品、产品加工和工作环境中的污染物（包括食品安全危害）。</w:t>
            </w:r>
          </w:p>
          <w:p>
            <w:pPr>
              <w:shd w:val="clear" w:color="auto"/>
              <w:rPr>
                <w:color w:val="000000"/>
                <w:szCs w:val="21"/>
                <w:highlight w:val="none"/>
                <w:u w:val="single"/>
              </w:rPr>
            </w:pPr>
            <w:r>
              <w:rPr>
                <w:rFonts w:hint="eastAsia"/>
                <w:highlight w:val="none"/>
              </w:rPr>
              <w:t>组织的《前提方案》时参照法规：</w:t>
            </w:r>
            <w:r>
              <w:rPr>
                <w:rFonts w:hint="eastAsia"/>
                <w:color w:val="000000"/>
                <w:szCs w:val="21"/>
                <w:highlight w:val="none"/>
                <w:u w:val="single"/>
              </w:rPr>
              <w:t>GB 31621-2014 《食品安全国家标准 食品经营过程卫生规范》</w:t>
            </w:r>
          </w:p>
          <w:p>
            <w:pPr>
              <w:shd w:val="clear" w:color="auto"/>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rPr>
                <w:highlight w:val="none"/>
              </w:rPr>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rPr>
                <w:highlight w:val="none"/>
              </w:rPr>
            </w:pPr>
          </w:p>
        </w:tc>
        <w:tc>
          <w:tcPr>
            <w:tcW w:w="9282" w:type="dxa"/>
            <w:shd w:val="clear" w:color="auto" w:fill="EBF1DE" w:themeFill="accent3" w:themeFillTint="32"/>
          </w:tcPr>
          <w:p>
            <w:pPr>
              <w:shd w:val="clear" w:color="auto"/>
              <w:rPr>
                <w:highlight w:val="none"/>
                <w:u w:val="single"/>
              </w:rPr>
            </w:pPr>
            <w:r>
              <w:rPr>
                <w:rFonts w:hint="eastAsia"/>
                <w:highlight w:val="none"/>
              </w:rPr>
              <w:t xml:space="preserve">《前提方案》的内容包括：☑内容全面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shd w:val="clear" w:color="auto"/>
              <w:rPr>
                <w:highlight w:val="none"/>
              </w:rPr>
            </w:pPr>
            <w:r>
              <w:rPr>
                <w:highlight w:val="none"/>
              </w:rPr>
              <w:t>a) 建筑物和相关设施的构造与布局；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highlight w:val="none"/>
              </w:rPr>
            </w:pPr>
            <w:r>
              <w:rPr>
                <w:highlight w:val="none"/>
              </w:rPr>
              <w:t>b) 包括工作空间和员工设施在内的厂房布局；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c) 空气、水、能源和其他基础条件的供给；</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highlight w:val="none"/>
              </w:rPr>
            </w:pPr>
            <w:r>
              <w:rPr>
                <w:highlight w:val="none"/>
              </w:rPr>
              <w:t>d) 包括虫害控制、 废弃物和污水处理在内的支持性服务；</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e) 设备的适宜性， 及其清洁、 保养和预防性维护的可实现性；</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highlight w:val="none"/>
              </w:rPr>
            </w:pPr>
            <w:r>
              <w:rPr>
                <w:highlight w:val="none"/>
              </w:rPr>
              <w:t>f) 供应商保证过程（如原料、 辅料、 化学品和包装材料） ；</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eastAsia="宋体"/>
                <w:highlight w:val="none"/>
                <w:lang w:eastAsia="zh-CN"/>
              </w:rPr>
            </w:pPr>
            <w:r>
              <w:rPr>
                <w:highlight w:val="none"/>
              </w:rPr>
              <w:t>g) 来料的接收、储存、发运、运输和产品的搬运；</w:t>
            </w:r>
            <w:r>
              <w:rPr>
                <w:rFonts w:hint="eastAsia"/>
                <w:highlight w:val="none"/>
              </w:rPr>
              <w:t xml:space="preserve">              </w:t>
            </w:r>
            <w:r>
              <w:rPr>
                <w:rFonts w:hint="eastAsia"/>
                <w:highlight w:val="none"/>
                <w:lang w:eastAsia="zh-CN"/>
              </w:rPr>
              <w:sym w:font="Wingdings 2" w:char="0052"/>
            </w:r>
            <w:r>
              <w:rPr>
                <w:rFonts w:hint="eastAsia"/>
                <w:highlight w:val="none"/>
              </w:rPr>
              <w:t xml:space="preserve">有   </w:t>
            </w:r>
            <w:r>
              <w:rPr>
                <w:rFonts w:hint="eastAsia"/>
                <w:highlight w:val="none"/>
              </w:rPr>
              <w:sym w:font="Wingdings" w:char="00A8"/>
            </w:r>
            <w:r>
              <w:rPr>
                <w:rFonts w:hint="eastAsia"/>
                <w:highlight w:val="none"/>
              </w:rPr>
              <w:t>无</w:t>
            </w:r>
          </w:p>
          <w:p>
            <w:pPr>
              <w:shd w:val="clear" w:color="auto"/>
              <w:rPr>
                <w:highlight w:val="none"/>
              </w:rPr>
            </w:pPr>
            <w:r>
              <w:rPr>
                <w:highlight w:val="none"/>
              </w:rPr>
              <w:t>h) 防止交叉污染的措施；</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i) 清洁和消毒；</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eastAsia="zh-CN"/>
              </w:rPr>
              <w:sym w:font="Wingdings 2" w:char="0052"/>
            </w:r>
            <w:r>
              <w:rPr>
                <w:rFonts w:hint="eastAsia"/>
                <w:highlight w:val="none"/>
              </w:rPr>
              <w:t>有</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无</w:t>
            </w:r>
          </w:p>
          <w:p>
            <w:pPr>
              <w:shd w:val="clear" w:color="auto"/>
              <w:rPr>
                <w:highlight w:val="none"/>
              </w:rPr>
            </w:pPr>
            <w:r>
              <w:rPr>
                <w:highlight w:val="none"/>
              </w:rPr>
              <w:t>j) 人员卫生；</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k) 产品信息/消费者意识；</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l) 其他有关方面。</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规定PRP的选择、建立、适用的监测和验证的文件化信息。</w:t>
            </w:r>
            <w:r>
              <w:rPr>
                <w:rFonts w:hint="eastAsia"/>
                <w:highlight w:val="none"/>
              </w:rPr>
              <w:t xml:space="preserve">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rPr>
                <w:highlight w:val="none"/>
              </w:rPr>
            </w:pPr>
          </w:p>
        </w:tc>
        <w:tc>
          <w:tcPr>
            <w:tcW w:w="9282" w:type="dxa"/>
            <w:shd w:val="clear" w:color="auto" w:fill="EBF1DE" w:themeFill="accent3" w:themeFillTint="32"/>
          </w:tcPr>
          <w:p>
            <w:pPr>
              <w:shd w:val="clear" w:color="auto"/>
              <w:rPr>
                <w:highlight w:val="none"/>
              </w:rPr>
            </w:pPr>
            <w:r>
              <w:rPr>
                <w:rFonts w:hint="eastAsia"/>
                <w:highlight w:val="none"/>
              </w:rPr>
              <w:t>组织</w:t>
            </w:r>
            <w:r>
              <w:rPr>
                <w:highlight w:val="none"/>
              </w:rPr>
              <w:t>确保确定适用的法律、法规和顾客要求</w:t>
            </w:r>
            <w:r>
              <w:rPr>
                <w:rFonts w:hint="eastAsia"/>
                <w:highlight w:val="none"/>
              </w:rPr>
              <w:t>，</w:t>
            </w:r>
            <w:r>
              <w:rPr>
                <w:highlight w:val="none"/>
              </w:rPr>
              <w:t>建立和实施可追溯性系统</w:t>
            </w:r>
            <w:r>
              <w:rPr>
                <w:rFonts w:hint="eastAsia"/>
                <w:highlight w:val="none"/>
              </w:rPr>
              <w:t>包括：</w:t>
            </w:r>
          </w:p>
          <w:p>
            <w:pPr>
              <w:shd w:val="clear" w:color="auto"/>
              <w:rPr>
                <w:highlight w:val="none"/>
              </w:rPr>
            </w:pPr>
            <w:r>
              <w:rPr>
                <w:highlight w:val="none"/>
              </w:rPr>
              <w:t>a）唯一地识别来自供应商的来料</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rPr>
                <w:highlight w:val="none"/>
              </w:rPr>
            </w:pPr>
            <w:r>
              <w:rPr>
                <w:highlight w:val="none"/>
              </w:rPr>
              <w:t>b）接收物料、配料、中间产品批量与最终产品的关系</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rPr>
                <w:rFonts w:hint="eastAsia" w:eastAsia="宋体"/>
                <w:highlight w:val="none"/>
                <w:lang w:eastAsia="zh-CN"/>
              </w:rPr>
            </w:pPr>
            <w:r>
              <w:rPr>
                <w:highlight w:val="none"/>
              </w:rPr>
              <w:t>c）材料/产品的返工</w:t>
            </w:r>
            <w:r>
              <w:rPr>
                <w:rFonts w:hint="eastAsia"/>
                <w:highlight w:val="none"/>
              </w:rPr>
              <w:t xml:space="preserve">                                </w:t>
            </w:r>
            <w:r>
              <w:rPr>
                <w:rFonts w:hint="eastAsia"/>
                <w:highlight w:val="none"/>
                <w:lang w:eastAsia="zh-CN"/>
              </w:rPr>
              <w:t>□</w:t>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eastAsia="zh-CN"/>
              </w:rPr>
              <w:t>（</w:t>
            </w:r>
            <w:r>
              <w:rPr>
                <w:rFonts w:hint="eastAsia"/>
                <w:highlight w:val="none"/>
                <w:lang w:val="en-US" w:eastAsia="zh-CN"/>
              </w:rPr>
              <w:t>不适用</w:t>
            </w:r>
            <w:r>
              <w:rPr>
                <w:rFonts w:hint="eastAsia"/>
                <w:highlight w:val="none"/>
                <w:lang w:eastAsia="zh-CN"/>
              </w:rPr>
              <w:t>）</w:t>
            </w:r>
          </w:p>
          <w:p>
            <w:pPr>
              <w:shd w:val="clear" w:color="auto"/>
              <w:rPr>
                <w:highlight w:val="none"/>
              </w:rPr>
            </w:pPr>
            <w:r>
              <w:rPr>
                <w:rFonts w:hint="eastAsia"/>
                <w:highlight w:val="none"/>
              </w:rPr>
              <w:t>d）</w:t>
            </w:r>
            <w:r>
              <w:rPr>
                <w:highlight w:val="none"/>
              </w:rPr>
              <w:t>最终产品分销路线的第一阶段。</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rPr>
                <w:rFonts w:hint="default" w:eastAsia="宋体"/>
                <w:highlight w:val="none"/>
                <w:lang w:val="en-US" w:eastAsia="zh-CN"/>
              </w:rPr>
            </w:pPr>
            <w:r>
              <w:rPr>
                <w:rFonts w:hint="eastAsia"/>
                <w:highlight w:val="none"/>
              </w:rPr>
              <w:t>组织的产品保质期为</w:t>
            </w:r>
            <w:r>
              <w:rPr>
                <w:rFonts w:hint="eastAsia"/>
                <w:strike/>
                <w:dstrike w:val="0"/>
                <w:highlight w:val="none"/>
                <w:lang w:eastAsia="zh-CN"/>
              </w:rPr>
              <w:t>——</w:t>
            </w:r>
            <w:r>
              <w:rPr>
                <w:rFonts w:hint="eastAsia"/>
                <w:strike/>
                <w:dstrike w:val="0"/>
                <w:highlight w:val="none"/>
                <w:u w:val="single"/>
                <w:lang w:val="en-US" w:eastAsia="zh-CN"/>
              </w:rPr>
              <w:t>小时； XXX</w:t>
            </w:r>
            <w:r>
              <w:rPr>
                <w:rFonts w:hint="eastAsia"/>
                <w:strike/>
                <w:dstrike w:val="0"/>
                <w:highlight w:val="none"/>
              </w:rPr>
              <w:t>个月</w:t>
            </w:r>
            <w:r>
              <w:rPr>
                <w:rFonts w:hint="eastAsia"/>
                <w:highlight w:val="none"/>
              </w:rPr>
              <w:t>；</w:t>
            </w:r>
            <w:r>
              <w:rPr>
                <w:rFonts w:hint="eastAsia"/>
                <w:highlight w:val="none"/>
                <w:lang w:val="en-US" w:eastAsia="zh-CN"/>
              </w:rPr>
              <w:t>当日采购当日销售，基本控制为0库存。</w:t>
            </w:r>
          </w:p>
          <w:p>
            <w:pPr>
              <w:shd w:val="clear" w:color="auto"/>
              <w:rPr>
                <w:highlight w:val="none"/>
              </w:rPr>
            </w:pPr>
          </w:p>
          <w:p>
            <w:pPr>
              <w:shd w:val="clear" w:color="auto"/>
              <w:rPr>
                <w:highlight w:val="none"/>
              </w:rPr>
            </w:pPr>
            <w:r>
              <w:rPr>
                <w:highlight w:val="none"/>
              </w:rPr>
              <w:t>可追溯性系统证据的文件化信息</w:t>
            </w:r>
            <w:r>
              <w:rPr>
                <w:rFonts w:hint="eastAsia"/>
                <w:highlight w:val="none"/>
              </w:rPr>
              <w:t>，</w:t>
            </w:r>
            <w:r>
              <w:rPr>
                <w:highlight w:val="none"/>
              </w:rPr>
              <w:t>保留期</w:t>
            </w:r>
            <w:r>
              <w:rPr>
                <w:rFonts w:hint="eastAsia"/>
                <w:highlight w:val="none"/>
              </w:rPr>
              <w:t xml:space="preserve">限为 </w:t>
            </w:r>
            <w:r>
              <w:rPr>
                <w:rFonts w:hint="eastAsia"/>
                <w:highlight w:val="none"/>
                <w:u w:val="single"/>
                <w:lang w:val="en-US" w:eastAsia="zh-CN"/>
              </w:rPr>
              <w:t>24</w:t>
            </w:r>
            <w:r>
              <w:rPr>
                <w:rFonts w:hint="eastAsia"/>
                <w:highlight w:val="none"/>
              </w:rPr>
              <w:t>个月</w:t>
            </w:r>
            <w:r>
              <w:rPr>
                <w:highlight w:val="none"/>
              </w:rPr>
              <w:t>。</w:t>
            </w:r>
          </w:p>
          <w:p>
            <w:pPr>
              <w:shd w:val="clear" w:color="auto"/>
              <w:rPr>
                <w:highlight w:val="none"/>
              </w:rPr>
            </w:pPr>
          </w:p>
          <w:p>
            <w:pPr>
              <w:shd w:val="clear" w:color="auto"/>
              <w:rPr>
                <w:rFonts w:hint="eastAsia"/>
                <w:color w:val="0000FF"/>
                <w:highlight w:val="none"/>
                <w:lang w:val="en-US" w:eastAsia="zh-CN"/>
              </w:rPr>
            </w:pPr>
            <w:r>
              <w:rPr>
                <w:highlight w:val="none"/>
              </w:rPr>
              <w:t>组织</w:t>
            </w: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5</w:t>
            </w:r>
            <w:r>
              <w:rPr>
                <w:rFonts w:hint="eastAsia"/>
                <w:highlight w:val="none"/>
                <w:u w:val="single"/>
              </w:rPr>
              <w:t xml:space="preserve"> </w:t>
            </w:r>
            <w:r>
              <w:rPr>
                <w:rFonts w:hint="eastAsia"/>
                <w:highlight w:val="none"/>
              </w:rPr>
              <w:t>月</w:t>
            </w:r>
            <w:r>
              <w:rPr>
                <w:rFonts w:hint="eastAsia"/>
                <w:highlight w:val="none"/>
                <w:u w:val="single"/>
                <w:lang w:val="en-US" w:eastAsia="zh-CN"/>
              </w:rPr>
              <w:t xml:space="preserve">25 </w:t>
            </w:r>
            <w:r>
              <w:rPr>
                <w:rFonts w:hint="eastAsia"/>
                <w:highlight w:val="none"/>
              </w:rPr>
              <w:t>日，进行了</w:t>
            </w:r>
            <w:r>
              <w:rPr>
                <w:highlight w:val="none"/>
              </w:rPr>
              <w:t>可追溯性体系的有效性</w:t>
            </w:r>
            <w:r>
              <w:rPr>
                <w:rFonts w:hint="eastAsia"/>
                <w:highlight w:val="none"/>
              </w:rPr>
              <w:t>的演练</w:t>
            </w:r>
            <w:r>
              <w:rPr>
                <w:highlight w:val="none"/>
              </w:rPr>
              <w:t>。</w:t>
            </w:r>
          </w:p>
          <w:p>
            <w:pPr>
              <w:pStyle w:val="2"/>
              <w:shd w:val="clear"/>
              <w:rPr>
                <w:rFonts w:hint="default"/>
                <w:highlight w:val="none"/>
                <w:lang w:val="en-US" w:eastAsia="zh-CN"/>
              </w:rPr>
            </w:pPr>
          </w:p>
          <w:p>
            <w:pPr>
              <w:shd w:val="clear" w:color="auto"/>
              <w:jc w:val="left"/>
              <w:rPr>
                <w:highlight w:val="none"/>
              </w:rPr>
            </w:pPr>
            <w:r>
              <w:rPr>
                <w:rFonts w:hint="eastAsia"/>
                <w:highlight w:val="none"/>
              </w:rPr>
              <w:t>组织在生产和服务提供的整个过程中对产品和监视和测量状态进行标识和追溯。</w:t>
            </w:r>
          </w:p>
          <w:p>
            <w:pPr>
              <w:shd w:val="clear" w:color="auto"/>
              <w:jc w:val="left"/>
              <w:rPr>
                <w:rFonts w:hint="eastAsia"/>
                <w:highlight w:val="none"/>
                <w:lang w:val="en-US" w:eastAsia="zh-CN"/>
              </w:rPr>
            </w:pPr>
            <w:r>
              <w:rPr>
                <w:rFonts w:hint="eastAsia"/>
                <w:highlight w:val="none"/>
              </w:rPr>
              <w:t>采用的标识方式：</w:t>
            </w:r>
            <w:r>
              <w:rPr>
                <w:rFonts w:hint="eastAsia"/>
                <w:highlight w:val="none"/>
                <w:lang w:eastAsia="zh-CN"/>
              </w:rPr>
              <w:t>□</w:t>
            </w:r>
            <w:r>
              <w:rPr>
                <w:rFonts w:hint="eastAsia"/>
                <w:highlight w:val="none"/>
              </w:rPr>
              <w:t xml:space="preserve">标签 </w:t>
            </w:r>
            <w:r>
              <w:rPr>
                <w:rFonts w:hint="eastAsia"/>
                <w:highlight w:val="none"/>
                <w:lang w:eastAsia="zh-CN"/>
              </w:rPr>
              <w:sym w:font="Wingdings 2" w:char="0052"/>
            </w:r>
            <w:r>
              <w:rPr>
                <w:rFonts w:hint="eastAsia"/>
                <w:highlight w:val="none"/>
              </w:rPr>
              <w:t xml:space="preserve">标牌 </w:t>
            </w:r>
            <w:r>
              <w:rPr>
                <w:rFonts w:hint="eastAsia"/>
                <w:highlight w:val="none"/>
              </w:rPr>
              <w:sym w:font="Wingdings" w:char="00FE"/>
            </w:r>
            <w:r>
              <w:rPr>
                <w:rFonts w:hint="eastAsia"/>
                <w:highlight w:val="none"/>
              </w:rPr>
              <w:t xml:space="preserve">区域 </w:t>
            </w:r>
            <w:r>
              <w:rPr>
                <w:rFonts w:hint="eastAsia"/>
                <w:highlight w:val="none"/>
              </w:rPr>
              <w:sym w:font="Wingdings" w:char="00FE"/>
            </w:r>
            <w:r>
              <w:rPr>
                <w:rFonts w:hint="eastAsia"/>
                <w:highlight w:val="none"/>
                <w:lang w:val="en-US" w:eastAsia="zh-CN"/>
              </w:rPr>
              <w:t xml:space="preserve">周转筐颜色 </w:t>
            </w:r>
            <w:r>
              <w:rPr>
                <w:rFonts w:hint="eastAsia"/>
                <w:highlight w:val="none"/>
              </w:rPr>
              <w:sym w:font="Wingdings" w:char="00A8"/>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标识卡</w:t>
            </w:r>
          </w:p>
          <w:p>
            <w:pPr>
              <w:shd w:val="clear" w:color="auto"/>
              <w:jc w:val="left"/>
              <w:rPr>
                <w:highlight w:val="none"/>
              </w:rPr>
            </w:pPr>
            <w:r>
              <w:rPr>
                <w:rFonts w:hint="eastAsia"/>
                <w:highlight w:val="none"/>
              </w:rPr>
              <w:t xml:space="preserve">可追溯性实现：☑符合要求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rPr>
                <w:highlight w:val="none"/>
              </w:rPr>
            </w:pPr>
          </w:p>
        </w:tc>
        <w:tc>
          <w:tcPr>
            <w:tcW w:w="9282" w:type="dxa"/>
            <w:shd w:val="clear" w:color="auto" w:fill="EBF1DE" w:themeFill="accent3" w:themeFillTint="32"/>
          </w:tcPr>
          <w:p>
            <w:pPr>
              <w:shd w:val="clear"/>
              <w:rPr>
                <w:b/>
                <w:bCs/>
                <w:highlight w:val="none"/>
              </w:rPr>
            </w:pPr>
            <w:r>
              <w:rPr>
                <w:rFonts w:hint="eastAsia"/>
                <w:b/>
                <w:bCs/>
                <w:highlight w:val="none"/>
              </w:rPr>
              <w:t>应急准备和响应</w:t>
            </w:r>
          </w:p>
          <w:p>
            <w:pPr>
              <w:shd w:val="clear"/>
              <w:rPr>
                <w:highlight w:val="none"/>
              </w:rPr>
            </w:pPr>
            <w:r>
              <w:rPr>
                <w:rFonts w:hint="eastAsia"/>
                <w:highlight w:val="none"/>
              </w:rPr>
              <w:t xml:space="preserve">组织识别了食品安全的潜在紧急情况和事故及应急准备并做出响应所需的过程。对实际发生的紧急情况做出响应；以预防或减轻它所带来的食品安全危害； </w:t>
            </w:r>
          </w:p>
          <w:p>
            <w:pPr>
              <w:shd w:val="clear"/>
              <w:rPr>
                <w:rFonts w:hint="eastAsia"/>
                <w:highlight w:val="none"/>
              </w:rPr>
            </w:pPr>
            <w:r>
              <w:rPr>
                <w:rFonts w:hint="eastAsia"/>
                <w:highlight w:val="none"/>
              </w:rPr>
              <w:t>制订的《应急预案》包括：</w:t>
            </w:r>
          </w:p>
          <w:p>
            <w:pPr>
              <w:shd w:val="clear"/>
              <w:rPr>
                <w:highlight w:val="none"/>
              </w:rPr>
            </w:pPr>
            <w:r>
              <w:rPr>
                <w:rFonts w:hint="eastAsia"/>
                <w:highlight w:val="none"/>
              </w:rPr>
              <w:sym w:font="Wingdings" w:char="00FE"/>
            </w:r>
            <w:r>
              <w:rPr>
                <w:rFonts w:hint="eastAsia"/>
                <w:highlight w:val="none"/>
              </w:rPr>
              <w:t>自然灾害</w:t>
            </w:r>
            <w:r>
              <w:rPr>
                <w:rFonts w:hint="eastAsia"/>
                <w:highlight w:val="none"/>
                <w:lang w:val="en-US" w:eastAsia="zh-CN"/>
              </w:rPr>
              <w:t xml:space="preserve"> </w:t>
            </w:r>
            <w:r>
              <w:rPr>
                <w:highlight w:val="none"/>
              </w:rPr>
              <w:t xml:space="preserve">  </w:t>
            </w:r>
            <w:r>
              <w:rPr>
                <w:rFonts w:hint="eastAsia"/>
                <w:highlight w:val="none"/>
              </w:rPr>
              <w:sym w:font="Wingdings" w:char="00FE"/>
            </w:r>
            <w:r>
              <w:rPr>
                <w:rFonts w:hint="eastAsia"/>
                <w:highlight w:val="none"/>
              </w:rPr>
              <w:t xml:space="preserve">环境事故 </w:t>
            </w:r>
            <w:r>
              <w:rPr>
                <w:rFonts w:hint="eastAsia"/>
                <w:highlight w:val="none"/>
              </w:rPr>
              <w:sym w:font="Wingdings" w:char="00FE"/>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A8"/>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A8"/>
            </w:r>
            <w:r>
              <w:rPr>
                <w:rFonts w:hint="eastAsia"/>
                <w:highlight w:val="none"/>
              </w:rPr>
              <w:t xml:space="preserve">水的中断 </w:t>
            </w:r>
            <w:r>
              <w:rPr>
                <w:highlight w:val="none"/>
              </w:rPr>
              <w:t xml:space="preserve">    </w:t>
            </w:r>
            <w:r>
              <w:rPr>
                <w:rFonts w:hint="eastAsia"/>
                <w:highlight w:val="none"/>
              </w:rPr>
              <w:sym w:font="Wingdings" w:char="00FE"/>
            </w:r>
            <w:r>
              <w:rPr>
                <w:rFonts w:hint="eastAsia"/>
                <w:highlight w:val="none"/>
              </w:rPr>
              <w:t xml:space="preserve">电的中断 </w:t>
            </w:r>
            <w:r>
              <w:rPr>
                <w:rFonts w:hint="eastAsia"/>
                <w:highlight w:val="none"/>
                <w:lang w:val="en-US" w:eastAsia="zh-CN"/>
              </w:rPr>
              <w:t xml:space="preserve"> </w:t>
            </w:r>
            <w:r>
              <w:rPr>
                <w:highlight w:val="none"/>
              </w:rPr>
              <w:t xml:space="preserve"> </w:t>
            </w:r>
            <w:r>
              <w:rPr>
                <w:rFonts w:hint="eastAsia"/>
                <w:highlight w:val="none"/>
              </w:rPr>
              <w:sym w:font="Wingdings" w:char="00FE"/>
            </w:r>
            <w:r>
              <w:rPr>
                <w:rFonts w:hint="eastAsia"/>
                <w:highlight w:val="none"/>
              </w:rPr>
              <w:t>制冷供应服务中断</w:t>
            </w:r>
            <w:r>
              <w:rPr>
                <w:highlight w:val="none"/>
              </w:rPr>
              <w:t xml:space="preserve">   </w:t>
            </w:r>
            <w:r>
              <w:rPr>
                <w:rFonts w:hint="eastAsia"/>
                <w:highlight w:val="none"/>
              </w:rPr>
              <w:sym w:font="Wingdings" w:char="00FE"/>
            </w:r>
            <w:r>
              <w:rPr>
                <w:rFonts w:hint="eastAsia"/>
                <w:highlight w:val="none"/>
              </w:rPr>
              <w:t>其他—食品供应链的突变</w:t>
            </w:r>
          </w:p>
          <w:p>
            <w:pPr>
              <w:shd w:val="clear"/>
              <w:rPr>
                <w:highlight w:val="none"/>
              </w:rPr>
            </w:pPr>
            <w:r>
              <w:rPr>
                <w:rFonts w:hint="eastAsia"/>
                <w:highlight w:val="none"/>
              </w:rPr>
              <w:t>审核周期内发生过紧急情况：</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w:t>
            </w:r>
            <w:r>
              <w:rPr>
                <w:rFonts w:hint="eastAsia"/>
                <w:highlight w:val="none"/>
                <w:u w:val="single"/>
              </w:rPr>
              <w:t xml:space="preserve">                                </w:t>
            </w:r>
            <w:r>
              <w:rPr>
                <w:rFonts w:hint="eastAsia"/>
                <w:highlight w:val="none"/>
              </w:rPr>
              <w:t>。</w:t>
            </w:r>
          </w:p>
          <w:p>
            <w:pPr>
              <w:shd w:val="clear"/>
              <w:rPr>
                <w:highlight w:val="none"/>
              </w:rPr>
            </w:pPr>
          </w:p>
          <w:p>
            <w:pPr>
              <w:shd w:val="clear"/>
              <w:rPr>
                <w:highlight w:val="none"/>
              </w:rPr>
            </w:pP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rPr>
              <w:t>年</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20 </w:t>
            </w:r>
            <w:r>
              <w:rPr>
                <w:rFonts w:hint="eastAsia"/>
                <w:highlight w:val="none"/>
              </w:rPr>
              <w:t>日进行了</w:t>
            </w:r>
            <w:r>
              <w:rPr>
                <w:rFonts w:hint="eastAsia"/>
                <w:highlight w:val="none"/>
                <w:u w:val="single"/>
              </w:rPr>
              <w:t xml:space="preserve">  </w:t>
            </w:r>
            <w:r>
              <w:rPr>
                <w:rFonts w:hint="eastAsia"/>
                <w:highlight w:val="none"/>
                <w:u w:val="single"/>
                <w:lang w:val="en-US" w:eastAsia="zh-CN"/>
              </w:rPr>
              <w:t>火灾</w:t>
            </w:r>
            <w:r>
              <w:rPr>
                <w:rFonts w:hint="eastAsia"/>
                <w:highlight w:val="none"/>
                <w:u w:val="single"/>
              </w:rPr>
              <w:t>应急演练</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的演练；于</w:t>
            </w:r>
            <w:r>
              <w:rPr>
                <w:rFonts w:hint="eastAsia"/>
                <w:highlight w:val="none"/>
                <w:u w:val="single"/>
              </w:rPr>
              <w:t xml:space="preserve">  </w:t>
            </w:r>
            <w:r>
              <w:rPr>
                <w:rFonts w:hint="eastAsia"/>
                <w:highlight w:val="none"/>
                <w:u w:val="single"/>
                <w:lang w:val="en-US" w:eastAsia="zh-CN"/>
              </w:rPr>
              <w:t>2022</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10</w:t>
            </w:r>
            <w:r>
              <w:rPr>
                <w:rFonts w:hint="eastAsia"/>
                <w:highlight w:val="none"/>
              </w:rPr>
              <w:t>日进行了</w:t>
            </w:r>
            <w:r>
              <w:rPr>
                <w:rFonts w:hint="eastAsia"/>
                <w:highlight w:val="none"/>
                <w:u w:val="single"/>
              </w:rPr>
              <w:t xml:space="preserve">  </w:t>
            </w:r>
            <w:r>
              <w:rPr>
                <w:rFonts w:hint="eastAsia"/>
                <w:highlight w:val="none"/>
                <w:u w:val="single"/>
                <w:lang w:val="en-US" w:eastAsia="zh-CN"/>
              </w:rPr>
              <w:t>食品安全防护</w:t>
            </w:r>
            <w:r>
              <w:rPr>
                <w:rFonts w:hint="eastAsia"/>
                <w:highlight w:val="none"/>
                <w:u w:val="single"/>
              </w:rPr>
              <w:t xml:space="preserve"> </w:t>
            </w:r>
            <w:r>
              <w:rPr>
                <w:rFonts w:hint="eastAsia"/>
                <w:highlight w:val="none"/>
              </w:rPr>
              <w:t xml:space="preserve">的演练；并总结了预案的可行性和有效性。 </w:t>
            </w:r>
          </w:p>
          <w:p>
            <w:pPr>
              <w:shd w:val="clear"/>
              <w:rPr>
                <w:rFonts w:hint="eastAsia"/>
                <w:highlight w:val="none"/>
              </w:rPr>
            </w:pPr>
          </w:p>
          <w:p>
            <w:pPr>
              <w:shd w:val="clear"/>
              <w:rPr>
                <w:highlight w:val="none"/>
              </w:rPr>
            </w:pPr>
            <w:r>
              <w:rPr>
                <w:rFonts w:hint="eastAsia"/>
                <w:highlight w:val="none"/>
              </w:rPr>
              <w:t xml:space="preserve">定期评审并修订过程和策划的响应措施，特别是发生紧急情况后或进行试验后； </w:t>
            </w:r>
          </w:p>
          <w:p>
            <w:pPr>
              <w:shd w:val="clear"/>
              <w:rPr>
                <w:highlight w:val="none"/>
              </w:rPr>
            </w:pPr>
          </w:p>
          <w:p>
            <w:pPr>
              <w:shd w:val="clear" w:color="auto"/>
              <w:rPr>
                <w:highlight w:val="none"/>
              </w:rPr>
            </w:pPr>
            <w:r>
              <w:rPr>
                <w:rFonts w:hint="eastAsia"/>
                <w:highlight w:val="none"/>
              </w:rPr>
              <w:t>应急准备和响应控制：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rPr>
                <w:b/>
                <w:bCs/>
                <w:highlight w:val="none"/>
              </w:rPr>
            </w:pPr>
            <w:r>
              <w:rPr>
                <w:rFonts w:hint="eastAsia"/>
                <w:b/>
                <w:bCs/>
                <w:highlight w:val="none"/>
              </w:rPr>
              <w:t>原材料产品描述</w:t>
            </w:r>
          </w:p>
          <w:p>
            <w:pPr>
              <w:shd w:val="clear"/>
              <w:rPr>
                <w:highlight w:val="none"/>
              </w:rPr>
            </w:pPr>
            <w:r>
              <w:rPr>
                <w:rFonts w:hint="eastAsia"/>
                <w:highlight w:val="none"/>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4"/>
              </w:numPr>
              <w:shd w:val="clear"/>
              <w:rPr>
                <w:color w:val="020FBE"/>
                <w:highlight w:val="none"/>
                <w:lang w:val="en-GB"/>
              </w:rPr>
            </w:pPr>
            <w:r>
              <w:rPr>
                <w:rFonts w:hint="eastAsia"/>
                <w:color w:val="020FBE"/>
                <w:highlight w:val="none"/>
                <w:lang w:val="en-US" w:eastAsia="zh-CN"/>
              </w:rPr>
              <w:t xml:space="preserve">水产品（鲜活、冰鲜类）：鲫鱼、龙虾、带鱼、鲍鱼、秋刀鱼等 </w:t>
            </w:r>
          </w:p>
          <w:p>
            <w:pPr>
              <w:numPr>
                <w:ilvl w:val="0"/>
                <w:numId w:val="4"/>
              </w:numPr>
              <w:shd w:val="clear"/>
              <w:rPr>
                <w:rFonts w:hint="default"/>
                <w:highlight w:val="none"/>
                <w:lang w:val="en-US"/>
              </w:rPr>
            </w:pPr>
            <w:r>
              <w:rPr>
                <w:rFonts w:hint="eastAsia"/>
                <w:color w:val="020FBE"/>
                <w:highlight w:val="none"/>
                <w:lang w:val="en-US" w:eastAsia="zh-CN"/>
              </w:rPr>
              <w:t>泡沫箱等</w:t>
            </w:r>
          </w:p>
          <w:p>
            <w:pPr>
              <w:numPr>
                <w:ilvl w:val="0"/>
                <w:numId w:val="4"/>
              </w:num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rPr>
                <w:highlight w:val="none"/>
              </w:rPr>
            </w:pPr>
            <w:r>
              <w:rPr>
                <w:rFonts w:hint="eastAsia"/>
                <w:highlight w:val="none"/>
              </w:rPr>
              <w:t>终产品描述</w:t>
            </w:r>
          </w:p>
          <w:p>
            <w:pPr>
              <w:shd w:val="clear"/>
              <w:rPr>
                <w:highlight w:val="none"/>
              </w:rPr>
            </w:pPr>
            <w:r>
              <w:rPr>
                <w:rFonts w:hint="eastAsia"/>
                <w:highlight w:val="none"/>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4"/>
              </w:numPr>
              <w:shd w:val="clear"/>
              <w:rPr>
                <w:highlight w:val="none"/>
                <w:u w:val="none"/>
              </w:rPr>
            </w:pPr>
            <w:r>
              <w:rPr>
                <w:rFonts w:hint="eastAsia"/>
                <w:color w:val="020FBE"/>
                <w:highlight w:val="none"/>
                <w:lang w:val="en-US" w:eastAsia="zh-CN"/>
              </w:rPr>
              <w:t>同原材料</w:t>
            </w:r>
          </w:p>
          <w:p>
            <w:pPr>
              <w:pStyle w:val="15"/>
              <w:shd w:val="clear"/>
              <w:rPr>
                <w:highlight w:val="none"/>
              </w:rPr>
            </w:pPr>
          </w:p>
          <w:p>
            <w:pPr>
              <w:pStyle w:val="15"/>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autoSpaceDE w:val="0"/>
              <w:autoSpaceDN w:val="0"/>
              <w:adjustRightInd w:val="0"/>
              <w:rPr>
                <w:b/>
                <w:bCs/>
              </w:rPr>
            </w:pPr>
            <w:r>
              <w:rPr>
                <w:rFonts w:hint="eastAsia"/>
                <w:b/>
                <w:bCs/>
              </w:rPr>
              <w:t>预期用途</w:t>
            </w:r>
          </w:p>
          <w:p>
            <w:pPr>
              <w:shd w:val="clea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酒店、餐馆等单位</w:t>
            </w:r>
            <w:r>
              <w:rPr>
                <w:u w:val="single"/>
              </w:rPr>
              <w:t xml:space="preserve">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FE"/>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r>
              <w:rPr>
                <w:rFonts w:hint="eastAsia"/>
              </w:rPr>
              <w:sym w:font="Wingdings" w:char="00FE"/>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5"/>
              </w:numPr>
              <w:shd w:val="clear"/>
              <w:spacing w:before="40" w:after="40"/>
            </w:pPr>
            <w:r>
              <w:rPr>
                <w:rFonts w:hint="eastAsia"/>
              </w:rPr>
              <w:t>工艺流程图包括了：</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color="auto"/>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pPr>
            <w:r>
              <w:t>c） 原材料、辅料、加工助剂</w:t>
            </w:r>
            <w:r>
              <w:rPr>
                <w:rFonts w:hint="eastAsia"/>
                <w:lang w:eastAsia="zh-CN"/>
              </w:rPr>
              <w:t>（</w:t>
            </w:r>
            <w:r>
              <w:rPr>
                <w:rFonts w:hint="eastAsia"/>
                <w:lang w:val="en-US" w:eastAsia="zh-CN"/>
              </w:rPr>
              <w:t>不涉及</w:t>
            </w:r>
            <w:r>
              <w:rPr>
                <w:rFonts w:hint="eastAsia"/>
                <w:lang w:eastAsia="zh-CN"/>
              </w:rPr>
              <w:t>）</w:t>
            </w:r>
            <w:r>
              <w:t>、包装材料、公用工程</w:t>
            </w:r>
            <w:r>
              <w:rPr>
                <w:rFonts w:hint="eastAsia"/>
                <w:lang w:eastAsia="zh-CN"/>
              </w:rPr>
              <w:t>（</w:t>
            </w:r>
            <w:r>
              <w:rPr>
                <w:rFonts w:hint="eastAsia"/>
                <w:lang w:val="en-US" w:eastAsia="zh-CN"/>
              </w:rPr>
              <w:t>不涉及</w:t>
            </w:r>
            <w:r>
              <w:rPr>
                <w:rFonts w:hint="eastAsia"/>
                <w:lang w:eastAsia="zh-CN"/>
              </w:rPr>
              <w:t>）</w:t>
            </w:r>
            <w:r>
              <w:t>和中间产品投入点；</w:t>
            </w:r>
          </w:p>
          <w:p>
            <w:pPr>
              <w:shd w:val="clear" w:color="auto"/>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pPr>
            <w:r>
              <w:t>e） 成品、 中间产品和副产品放行点及废弃物的排放点</w:t>
            </w:r>
          </w:p>
          <w:p>
            <w:pPr>
              <w:widowControl/>
              <w:numPr>
                <w:ilvl w:val="0"/>
                <w:numId w:val="5"/>
              </w:numPr>
              <w:shd w:val="clear"/>
              <w:autoSpaceDE w:val="0"/>
              <w:autoSpaceDN w:val="0"/>
              <w:adjustRightInd w:val="0"/>
              <w:rPr>
                <w:b/>
              </w:rPr>
            </w:pPr>
            <w:r>
              <w:rPr>
                <w:rFonts w:hint="eastAsia"/>
              </w:rPr>
              <w:t>工厂位置图</w:t>
            </w:r>
          </w:p>
          <w:p>
            <w:pPr>
              <w:widowControl/>
              <w:numPr>
                <w:ilvl w:val="0"/>
                <w:numId w:val="5"/>
              </w:numPr>
              <w:shd w:val="clear"/>
              <w:autoSpaceDE w:val="0"/>
              <w:autoSpaceDN w:val="0"/>
              <w:adjustRightInd w:val="0"/>
            </w:pPr>
            <w:r>
              <w:rPr>
                <w:rFonts w:hint="eastAsia"/>
              </w:rPr>
              <w:t>厂区平面图</w:t>
            </w:r>
          </w:p>
          <w:p>
            <w:pPr>
              <w:widowControl/>
              <w:numPr>
                <w:ilvl w:val="0"/>
                <w:numId w:val="5"/>
              </w:numPr>
              <w:shd w:val="clea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5"/>
              </w:numPr>
              <w:shd w:val="clear"/>
              <w:autoSpaceDE w:val="0"/>
              <w:autoSpaceDN w:val="0"/>
              <w:adjustRightInd w:val="0"/>
              <w:rPr>
                <w:b/>
              </w:rPr>
            </w:pPr>
            <w:r>
              <w:rPr>
                <w:rFonts w:hint="eastAsia"/>
              </w:rPr>
              <w:t>人流、物流、气流图</w:t>
            </w:r>
          </w:p>
          <w:p>
            <w:pPr>
              <w:widowControl/>
              <w:numPr>
                <w:ilvl w:val="0"/>
                <w:numId w:val="5"/>
              </w:numPr>
              <w:shd w:val="clear"/>
              <w:autoSpaceDE w:val="0"/>
              <w:autoSpaceDN w:val="0"/>
              <w:adjustRightInd w:val="0"/>
              <w:rPr>
                <w:b/>
              </w:rPr>
            </w:pPr>
            <w:r>
              <w:rPr>
                <w:rFonts w:hint="eastAsia"/>
              </w:rPr>
              <w:t>供排水网络图</w:t>
            </w:r>
          </w:p>
          <w:p>
            <w:pPr>
              <w:widowControl/>
              <w:numPr>
                <w:ilvl w:val="0"/>
                <w:numId w:val="5"/>
              </w:numPr>
              <w:shd w:val="clear"/>
              <w:autoSpaceDE w:val="0"/>
              <w:autoSpaceDN w:val="0"/>
              <w:adjustRightInd w:val="0"/>
              <w:rPr>
                <w:b/>
              </w:rPr>
            </w:pPr>
            <w:r>
              <w:rPr>
                <w:rFonts w:hint="eastAsia"/>
              </w:rPr>
              <w:t>防虫害分布图</w:t>
            </w:r>
          </w:p>
          <w:p>
            <w:pPr>
              <w:widowControl/>
              <w:numPr>
                <w:ilvl w:val="0"/>
                <w:numId w:val="5"/>
              </w:numPr>
              <w:shd w:val="clear"/>
              <w:autoSpaceDE w:val="0"/>
              <w:autoSpaceDN w:val="0"/>
              <w:adjustRightInd w:val="0"/>
              <w:rPr>
                <w:bCs/>
              </w:rPr>
            </w:pPr>
            <w:r>
              <w:rPr>
                <w:rFonts w:hint="eastAsia"/>
                <w:bCs/>
              </w:rPr>
              <w:t>其他</w:t>
            </w:r>
          </w:p>
          <w:p>
            <w:pPr>
              <w:shd w:val="clear"/>
            </w:pPr>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pPr>
          </w:p>
          <w:p>
            <w:pPr>
              <w:shd w:val="clear" w:color="auto"/>
              <w:rPr>
                <w:rFonts w:hint="eastAsia" w:eastAsia="宋体"/>
                <w:lang w:val="en-US" w:eastAsia="zh-CN"/>
              </w:rPr>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w:t>
            </w:r>
            <w:r>
              <w:rPr>
                <w:rFonts w:hint="eastAsia"/>
              </w:rPr>
              <w:t>日</w:t>
            </w:r>
            <w:r>
              <w:t>现场确认流程图的准确性，在</w:t>
            </w:r>
            <w:r>
              <w:rPr>
                <w:rFonts w:hint="eastAsia"/>
              </w:rPr>
              <w:t>需要</w:t>
            </w:r>
            <w:r>
              <w:t>的情况下更新流程图，并保留作为文件的信息。</w:t>
            </w:r>
            <w:r>
              <w:rPr>
                <w:rFonts w:hint="eastAsia"/>
                <w:lang w:eastAsia="zh-CN"/>
              </w:rPr>
              <w:t>【</w:t>
            </w:r>
            <w:r>
              <w:rPr>
                <w:rFonts w:hint="eastAsia"/>
                <w:lang w:val="en-US" w:eastAsia="zh-CN"/>
              </w:rPr>
              <w:t>审核周期内未发生变化</w:t>
            </w:r>
            <w:r>
              <w:rPr>
                <w:rFonts w:hint="eastAsia"/>
                <w:lang w:eastAsia="zh-CN"/>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autoSpaceDE w:val="0"/>
              <w:autoSpaceDN w:val="0"/>
              <w:adjustRightInd w:val="0"/>
              <w:rPr>
                <w:b/>
                <w:highlight w:val="none"/>
              </w:rPr>
            </w:pPr>
            <w:r>
              <w:rPr>
                <w:rFonts w:hint="eastAsia"/>
                <w:b/>
                <w:highlight w:val="none"/>
              </w:rPr>
              <w:t>危害评估</w:t>
            </w:r>
          </w:p>
          <w:p>
            <w:pPr>
              <w:shd w:val="clear"/>
              <w:rPr>
                <w:rFonts w:hint="eastAsia" w:eastAsia="宋体"/>
                <w:highlight w:val="none"/>
                <w:lang w:val="en-GB" w:eastAsia="zh-CN"/>
              </w:rPr>
            </w:pPr>
            <w:r>
              <w:rPr>
                <w:rFonts w:hint="eastAsia"/>
                <w:highlight w:val="none"/>
                <w:lang w:val="en-GB"/>
              </w:rPr>
              <w:t>HACCP小组</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2</w:t>
            </w:r>
            <w:r>
              <w:rPr>
                <w:rFonts w:hint="eastAsia"/>
                <w:color w:val="0000FF"/>
                <w:szCs w:val="21"/>
                <w:highlight w:val="none"/>
              </w:rPr>
              <w:t>日</w:t>
            </w:r>
            <w:r>
              <w:rPr>
                <w:rFonts w:hint="eastAsia"/>
                <w:highlight w:val="none"/>
                <w:lang w:val="en-GB"/>
              </w:rPr>
              <w:t>针对已识别的潜在危害，评估其发生的严重性和可能性，如果这种潜在危害在该步骤极可能发生且后果严重，被确定为显著危害。</w:t>
            </w:r>
            <w:r>
              <w:rPr>
                <w:rFonts w:hint="eastAsia"/>
                <w:highlight w:val="none"/>
                <w:lang w:val="en-GB" w:eastAsia="zh-CN"/>
              </w:rPr>
              <w:t>【</w:t>
            </w:r>
            <w:r>
              <w:rPr>
                <w:rFonts w:hint="eastAsia"/>
                <w:highlight w:val="none"/>
                <w:lang w:val="en-US" w:eastAsia="zh-CN"/>
              </w:rPr>
              <w:t>询问审核周期内未发生变化</w:t>
            </w:r>
            <w:r>
              <w:rPr>
                <w:rFonts w:hint="eastAsia"/>
                <w:highlight w:val="none"/>
                <w:lang w:val="en-GB" w:eastAsia="zh-CN"/>
              </w:rPr>
              <w:t>】</w:t>
            </w:r>
          </w:p>
          <w:p>
            <w:pPr>
              <w:shd w:val="clear"/>
              <w:tabs>
                <w:tab w:val="right" w:pos="3119"/>
              </w:tabs>
              <w:rPr>
                <w:rFonts w:hint="eastAsia"/>
                <w:highlight w:val="none"/>
                <w:lang w:val="en-GB"/>
              </w:rPr>
            </w:pPr>
          </w:p>
          <w:p>
            <w:pPr>
              <w:shd w:val="clear"/>
              <w:tabs>
                <w:tab w:val="right" w:pos="3119"/>
              </w:tabs>
              <w:rPr>
                <w:highlight w:val="none"/>
                <w:lang w:val="en-GB"/>
              </w:rPr>
            </w:pPr>
            <w:r>
              <w:rPr>
                <w:rFonts w:hint="eastAsia"/>
                <w:highlight w:val="none"/>
                <w:lang w:val="en-GB"/>
              </w:rPr>
              <w:t>保持了危害评估依据和结果的记录。</w:t>
            </w:r>
          </w:p>
          <w:p>
            <w:pPr>
              <w:shd w:val="clear"/>
              <w:rPr>
                <w:b/>
                <w:bCs/>
                <w:highlight w:val="none"/>
              </w:rPr>
            </w:pPr>
            <w:r>
              <w:rPr>
                <w:b/>
                <w:bCs/>
                <w:highlight w:val="none"/>
                <w:lang w:val="en-GB"/>
              </w:rPr>
              <w:t>显著危害</w:t>
            </w:r>
            <w:r>
              <w:rPr>
                <w:b/>
                <w:bCs/>
                <w:highlight w:val="none"/>
              </w:rPr>
              <w:t>包括：</w:t>
            </w:r>
          </w:p>
          <w:p>
            <w:pPr>
              <w:shd w:val="clear"/>
            </w:pPr>
            <w:r>
              <w:t>化学危害：</w:t>
            </w:r>
            <w:r>
              <w:rPr/>
              <w:sym w:font="Wingdings" w:char="00FE"/>
            </w:r>
            <w:r>
              <w:t xml:space="preserve">重金属  </w:t>
            </w:r>
            <w:r>
              <w:rPr/>
              <w:sym w:font="Wingdings" w:char="00A8"/>
            </w:r>
            <w:r>
              <w:t xml:space="preserve">农药残留  </w:t>
            </w:r>
            <w:r>
              <w:rPr/>
              <w:sym w:font="Wingdings" w:char="00FE"/>
            </w:r>
            <w:r>
              <w:t xml:space="preserve">兽药残留  </w:t>
            </w:r>
            <w:r>
              <w:rPr/>
              <w:sym w:font="Wingdings" w:char="00A8"/>
            </w:r>
            <w:r>
              <w:t xml:space="preserve">黄曲霉毒素 </w:t>
            </w:r>
            <w:r>
              <w:rPr/>
              <w:sym w:font="Wingdings" w:char="00FE"/>
            </w:r>
            <w:r>
              <w:t xml:space="preserve">放射性物质 </w:t>
            </w:r>
            <w:r>
              <w:rPr/>
              <w:sym w:font="Wingdings" w:char="00FE"/>
            </w:r>
            <w:r>
              <w:t xml:space="preserve">贝类毒素 </w:t>
            </w:r>
          </w:p>
          <w:p>
            <w:pPr>
              <w:shd w:val="clear"/>
              <w:ind w:firstLine="840" w:firstLineChars="400"/>
            </w:pPr>
            <w:r>
              <w:t xml:space="preserve">  </w:t>
            </w:r>
            <w:r>
              <w:rPr/>
              <w:sym w:font="Wingdings" w:char="00A8"/>
            </w:r>
            <w:r>
              <w:t xml:space="preserve">超量的食品添加剂   </w:t>
            </w:r>
            <w:r>
              <w:rPr/>
              <w:sym w:font="Wingdings" w:char="00FE"/>
            </w:r>
            <w:r>
              <w:t xml:space="preserve">化学品（润滑油、清洁剂、消毒剂、杀虫剂）  </w:t>
            </w:r>
            <w:r>
              <w:rPr>
                <w:rFonts w:hint="eastAsia"/>
              </w:rPr>
              <w:t>口</w:t>
            </w:r>
            <w:r>
              <w:rPr>
                <w:bCs/>
                <w:lang w:val="en-GB"/>
              </w:rPr>
              <w:t>苯并芘</w:t>
            </w:r>
            <w:r>
              <w:rPr>
                <w:b/>
                <w:color w:val="0000FF"/>
              </w:rPr>
              <w:t xml:space="preserve"> </w:t>
            </w:r>
            <w:r>
              <w:t xml:space="preserve">  </w:t>
            </w:r>
          </w:p>
          <w:p>
            <w:pPr>
              <w:shd w:val="clea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pPr>
              <w:shd w:val="clear"/>
            </w:pPr>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pPr>
              <w:shd w:val="clear"/>
            </w:pPr>
            <w:r>
              <w:t xml:space="preserve">          </w:t>
            </w:r>
            <w:r>
              <w:rPr/>
              <w:sym w:font="Wingdings" w:char="00FE"/>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pPr>
              <w:shd w:val="clear"/>
            </w:pPr>
            <w:r>
              <w:t>物理危害：</w:t>
            </w:r>
            <w:r>
              <w:rPr/>
              <w:sym w:font="Wingdings" w:char="00A8"/>
            </w:r>
            <w:r>
              <w:t>金属</w:t>
            </w:r>
            <w:r>
              <w:rPr>
                <w:rFonts w:hint="eastAsia"/>
              </w:rPr>
              <w:t>异物</w:t>
            </w:r>
            <w:r>
              <w:t xml:space="preserve">  </w:t>
            </w:r>
            <w:r>
              <w:rPr/>
              <w:sym w:font="Wingdings" w:char="00A8"/>
            </w:r>
            <w:r>
              <w:t xml:space="preserve">玻璃渣  </w:t>
            </w:r>
            <w:r>
              <w:rPr/>
              <w:sym w:font="Wingdings" w:char="00FE"/>
            </w:r>
            <w:r>
              <w:t xml:space="preserve">碎石  </w:t>
            </w:r>
            <w:r>
              <w:rPr/>
              <w:sym w:font="Wingdings" w:char="00FE"/>
            </w:r>
            <w:r>
              <w:t xml:space="preserve">沙子  </w:t>
            </w:r>
            <w:r>
              <w:rPr/>
              <w:sym w:font="Wingdings" w:char="00FE"/>
            </w:r>
            <w:r>
              <w:t>其他异物</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highlight w:val="none"/>
              </w:rPr>
            </w:pPr>
            <w:r>
              <w:rPr>
                <w:highlight w:val="none"/>
              </w:rPr>
              <w:t>控制措施的选择和分类</w:t>
            </w:r>
          </w:p>
          <w:p>
            <w:pPr>
              <w:shd w:val="clear" w:color="auto"/>
              <w:rPr>
                <w:highlight w:val="none"/>
              </w:rPr>
            </w:pPr>
            <w:r>
              <w:rPr>
                <w:highlight w:val="none"/>
              </w:rPr>
              <w:t>组织在危害评价的基础上，选择适当的控制措施或控制措施的组合，以防止或将已识别的显著食品安全危害降低到规定的可接受水平。</w:t>
            </w:r>
          </w:p>
          <w:p>
            <w:pPr>
              <w:shd w:val="clear" w:color="auto"/>
              <w:rPr>
                <w:highlight w:val="none"/>
              </w:rPr>
            </w:pPr>
            <w:r>
              <w:rPr>
                <w:highlight w:val="none"/>
              </w:rPr>
              <w:t>组织将选定的识别控制措施分类为OPRP（见3.30）或CCPs。</w:t>
            </w:r>
          </w:p>
          <w:p>
            <w:pPr>
              <w:shd w:val="clear"/>
              <w:tabs>
                <w:tab w:val="right" w:pos="3119"/>
              </w:tabs>
              <w:rPr>
                <w:rFonts w:hint="eastAsia"/>
                <w:highlight w:val="none"/>
              </w:rPr>
            </w:pPr>
            <w:r>
              <w:rPr>
                <w:rFonts w:hint="eastAsia"/>
                <w:highlight w:val="none"/>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0"/>
              <w:gridCol w:w="241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90" w:type="dxa"/>
                  <w:shd w:val="clear" w:color="auto" w:fill="auto"/>
                  <w:vAlign w:val="center"/>
                </w:tcPr>
                <w:p>
                  <w:pPr>
                    <w:shd w:val="clear"/>
                    <w:jc w:val="center"/>
                    <w:rPr>
                      <w:bCs/>
                    </w:rPr>
                  </w:pPr>
                  <w:r>
                    <w:rPr>
                      <w:bCs/>
                      <w:lang w:val="en-GB"/>
                    </w:rPr>
                    <w:t>产品</w:t>
                  </w:r>
                  <w:r>
                    <w:rPr>
                      <w:bCs/>
                    </w:rPr>
                    <w:t>名称</w:t>
                  </w:r>
                </w:p>
              </w:tc>
              <w:tc>
                <w:tcPr>
                  <w:tcW w:w="2410" w:type="dxa"/>
                  <w:shd w:val="clear" w:color="auto" w:fill="auto"/>
                  <w:vAlign w:val="center"/>
                </w:tcPr>
                <w:p>
                  <w:pPr>
                    <w:shd w:val="clear"/>
                    <w:jc w:val="center"/>
                    <w:rPr>
                      <w:bCs/>
                      <w:lang w:val="en-GB"/>
                    </w:rPr>
                  </w:pPr>
                  <w:r>
                    <w:rPr>
                      <w:bCs/>
                      <w:lang w:val="en-GB"/>
                    </w:rPr>
                    <w:t>潜在危害</w:t>
                  </w:r>
                </w:p>
              </w:tc>
              <w:tc>
                <w:tcPr>
                  <w:tcW w:w="2316" w:type="dxa"/>
                  <w:shd w:val="clear" w:color="auto" w:fill="auto"/>
                  <w:vAlign w:val="center"/>
                </w:tcPr>
                <w:p>
                  <w:pPr>
                    <w:shd w:val="clea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090" w:type="dxa"/>
                  <w:shd w:val="clear" w:color="auto" w:fill="auto"/>
                </w:tcPr>
                <w:p>
                  <w:pPr>
                    <w:shd w:val="clear"/>
                    <w:jc w:val="center"/>
                    <w:rPr>
                      <w:bCs/>
                      <w:lang w:val="en-GB"/>
                    </w:rPr>
                  </w:pPr>
                  <w:r>
                    <w:rPr>
                      <w:rFonts w:hint="eastAsia"/>
                      <w:bCs/>
                      <w:sz w:val="18"/>
                      <w:szCs w:val="18"/>
                    </w:rPr>
                    <w:t>鲜</w:t>
                  </w:r>
                  <w:r>
                    <w:rPr>
                      <w:rFonts w:hint="eastAsia"/>
                      <w:bCs/>
                      <w:szCs w:val="21"/>
                    </w:rPr>
                    <w:t>活水产品：海</w:t>
                  </w:r>
                  <w:r>
                    <w:rPr>
                      <w:bCs/>
                      <w:szCs w:val="21"/>
                    </w:rPr>
                    <w:t>胆、</w:t>
                  </w:r>
                  <w:r>
                    <w:rPr>
                      <w:rFonts w:hint="eastAsia"/>
                      <w:bCs/>
                      <w:szCs w:val="21"/>
                    </w:rPr>
                    <w:t>文</w:t>
                  </w:r>
                  <w:r>
                    <w:rPr>
                      <w:bCs/>
                      <w:szCs w:val="21"/>
                    </w:rPr>
                    <w:t>蛤、</w:t>
                  </w:r>
                  <w:r>
                    <w:rPr>
                      <w:rFonts w:hint="eastAsia"/>
                      <w:bCs/>
                      <w:szCs w:val="21"/>
                    </w:rPr>
                    <w:t>螃</w:t>
                  </w:r>
                  <w:r>
                    <w:rPr>
                      <w:bCs/>
                      <w:szCs w:val="21"/>
                    </w:rPr>
                    <w:t>蟹、</w:t>
                  </w:r>
                  <w:r>
                    <w:rPr>
                      <w:rFonts w:hint="eastAsia" w:ascii="Arial Narrow" w:hAnsi="Arial Narrow"/>
                      <w:w w:val="90"/>
                      <w:szCs w:val="21"/>
                    </w:rPr>
                    <w:t>鲫鱼、白</w:t>
                  </w:r>
                  <w:r>
                    <w:rPr>
                      <w:rFonts w:ascii="Arial Narrow" w:hAnsi="Arial Narrow"/>
                      <w:w w:val="90"/>
                      <w:szCs w:val="21"/>
                    </w:rPr>
                    <w:t>对</w:t>
                  </w:r>
                  <w:r>
                    <w:rPr>
                      <w:rFonts w:hint="eastAsia" w:ascii="Arial Narrow" w:hAnsi="Arial Narrow"/>
                      <w:w w:val="90"/>
                      <w:szCs w:val="21"/>
                    </w:rPr>
                    <w:t>虾</w:t>
                  </w:r>
                  <w:r>
                    <w:rPr>
                      <w:rFonts w:ascii="Arial Narrow" w:hAnsi="Arial Narrow"/>
                      <w:w w:val="90"/>
                      <w:szCs w:val="21"/>
                    </w:rPr>
                    <w:t>、</w:t>
                  </w:r>
                  <w:r>
                    <w:rPr>
                      <w:rFonts w:hint="eastAsia" w:ascii="Arial Narrow" w:hAnsi="Arial Narrow"/>
                      <w:w w:val="90"/>
                      <w:szCs w:val="21"/>
                    </w:rPr>
                    <w:t>小</w:t>
                  </w:r>
                  <w:r>
                    <w:rPr>
                      <w:rFonts w:ascii="Arial Narrow" w:hAnsi="Arial Narrow"/>
                      <w:w w:val="90"/>
                      <w:szCs w:val="21"/>
                    </w:rPr>
                    <w:t>蚌、</w:t>
                  </w:r>
                  <w:r>
                    <w:rPr>
                      <w:rFonts w:hint="eastAsia" w:ascii="Arial Narrow" w:hAnsi="Arial Narrow"/>
                      <w:w w:val="90"/>
                      <w:szCs w:val="21"/>
                    </w:rPr>
                    <w:t>小龙虾、带鱼、</w:t>
                  </w:r>
                  <w:r>
                    <w:rPr>
                      <w:rFonts w:ascii="Arial Narrow" w:hAnsi="Arial Narrow"/>
                      <w:w w:val="90"/>
                      <w:szCs w:val="21"/>
                    </w:rPr>
                    <w:t>斑节虾、</w:t>
                  </w:r>
                  <w:r>
                    <w:rPr>
                      <w:rFonts w:hint="eastAsia" w:ascii="Arial Narrow" w:hAnsi="Arial Narrow"/>
                      <w:w w:val="90"/>
                      <w:szCs w:val="21"/>
                    </w:rPr>
                    <w:t>桂</w:t>
                  </w:r>
                  <w:r>
                    <w:rPr>
                      <w:rFonts w:ascii="Arial Narrow" w:hAnsi="Arial Narrow"/>
                      <w:w w:val="90"/>
                      <w:szCs w:val="21"/>
                    </w:rPr>
                    <w:t>花鱼</w:t>
                  </w:r>
                  <w:r>
                    <w:rPr>
                      <w:rFonts w:hint="eastAsia" w:ascii="Arial Narrow" w:hAnsi="Arial Narrow"/>
                      <w:w w:val="90"/>
                      <w:szCs w:val="21"/>
                    </w:rPr>
                    <w:t>、</w:t>
                  </w:r>
                  <w:r>
                    <w:rPr>
                      <w:rFonts w:ascii="Arial Narrow" w:hAnsi="Arial Narrow"/>
                      <w:w w:val="90"/>
                      <w:szCs w:val="21"/>
                    </w:rPr>
                    <w:t>链鱼</w:t>
                  </w:r>
                  <w:r>
                    <w:rPr>
                      <w:rFonts w:hint="eastAsia" w:ascii="Arial Narrow" w:hAnsi="Arial Narrow"/>
                      <w:w w:val="90"/>
                      <w:szCs w:val="21"/>
                    </w:rPr>
                    <w:t>、</w:t>
                  </w:r>
                  <w:r>
                    <w:rPr>
                      <w:rFonts w:ascii="Arial Narrow" w:hAnsi="Arial Narrow"/>
                      <w:w w:val="90"/>
                      <w:szCs w:val="21"/>
                    </w:rPr>
                    <w:t>龙胆鱼、多宝鱼</w:t>
                  </w:r>
                  <w:r>
                    <w:rPr>
                      <w:rFonts w:hint="eastAsia" w:ascii="Arial Narrow" w:hAnsi="Arial Narrow"/>
                      <w:w w:val="90"/>
                      <w:szCs w:val="21"/>
                    </w:rPr>
                    <w:t>、</w:t>
                  </w:r>
                  <w:r>
                    <w:rPr>
                      <w:rFonts w:ascii="Arial Narrow" w:hAnsi="Arial Narrow"/>
                      <w:w w:val="90"/>
                      <w:szCs w:val="21"/>
                    </w:rPr>
                    <w:t>草鱼</w:t>
                  </w:r>
                  <w:r>
                    <w:rPr>
                      <w:rFonts w:hint="eastAsia" w:ascii="Arial Narrow" w:hAnsi="Arial Narrow"/>
                      <w:w w:val="90"/>
                      <w:szCs w:val="21"/>
                    </w:rPr>
                    <w:t>、</w:t>
                  </w:r>
                  <w:r>
                    <w:rPr>
                      <w:rFonts w:ascii="Arial Narrow" w:hAnsi="Arial Narrow"/>
                      <w:w w:val="90"/>
                      <w:szCs w:val="21"/>
                    </w:rPr>
                    <w:t>青</w:t>
                  </w:r>
                  <w:r>
                    <w:rPr>
                      <w:rFonts w:hint="eastAsia" w:ascii="Arial Narrow" w:hAnsi="Arial Narrow"/>
                      <w:w w:val="90"/>
                      <w:szCs w:val="21"/>
                    </w:rPr>
                    <w:t>斑</w:t>
                  </w:r>
                  <w:r>
                    <w:rPr>
                      <w:rFonts w:ascii="Arial Narrow" w:hAnsi="Arial Narrow"/>
                      <w:w w:val="90"/>
                      <w:szCs w:val="21"/>
                    </w:rPr>
                    <w:t>鱼</w:t>
                  </w:r>
                  <w:r>
                    <w:rPr>
                      <w:rFonts w:hint="eastAsia" w:ascii="Arial Narrow" w:hAnsi="Arial Narrow"/>
                      <w:w w:val="90"/>
                      <w:szCs w:val="21"/>
                    </w:rPr>
                    <w:t>、鳗鱼、</w:t>
                  </w:r>
                  <w:r>
                    <w:rPr>
                      <w:rFonts w:ascii="Arial Narrow" w:hAnsi="Arial Narrow"/>
                      <w:w w:val="90"/>
                      <w:szCs w:val="21"/>
                    </w:rPr>
                    <w:t>金</w:t>
                  </w:r>
                  <w:r>
                    <w:rPr>
                      <w:rFonts w:hint="eastAsia" w:ascii="Arial Narrow" w:hAnsi="Arial Narrow"/>
                      <w:w w:val="90"/>
                      <w:szCs w:val="21"/>
                    </w:rPr>
                    <w:t>鲳</w:t>
                  </w:r>
                  <w:r>
                    <w:rPr>
                      <w:rFonts w:ascii="Arial Narrow" w:hAnsi="Arial Narrow"/>
                      <w:w w:val="90"/>
                      <w:szCs w:val="21"/>
                    </w:rPr>
                    <w:t>鱼</w:t>
                  </w:r>
                </w:p>
              </w:tc>
              <w:tc>
                <w:tcPr>
                  <w:tcW w:w="2410" w:type="dxa"/>
                  <w:shd w:val="clear" w:color="auto" w:fill="auto"/>
                  <w:vAlign w:val="center"/>
                </w:tcPr>
                <w:p>
                  <w:pPr>
                    <w:shd w:val="clea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shd w:val="clea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shd w:val="clear"/>
                    <w:jc w:val="center"/>
                    <w:rPr>
                      <w:bCs/>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316" w:type="dxa"/>
                  <w:shd w:val="clear" w:color="auto" w:fill="auto"/>
                  <w:vAlign w:val="center"/>
                </w:tcPr>
                <w:p>
                  <w:pPr>
                    <w:shd w:val="clea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shd w:val="clear"/>
                    <w:autoSpaceDE w:val="0"/>
                    <w:autoSpaceDN w:val="0"/>
                    <w:adjustRightInd w:val="0"/>
                    <w:jc w:val="center"/>
                    <w:rPr>
                      <w:bCs/>
                      <w:sz w:val="18"/>
                      <w:szCs w:val="18"/>
                    </w:rPr>
                  </w:pPr>
                  <w:r>
                    <w:rPr>
                      <w:bCs/>
                      <w:sz w:val="18"/>
                      <w:szCs w:val="18"/>
                    </w:rPr>
                    <w:sym w:font="Wingdings" w:char="00A8"/>
                  </w:r>
                  <w:r>
                    <w:rPr>
                      <w:bCs/>
                      <w:sz w:val="18"/>
                      <w:szCs w:val="18"/>
                    </w:rPr>
                    <w:t>企业自行检测</w:t>
                  </w:r>
                </w:p>
                <w:p>
                  <w:pPr>
                    <w:shd w:val="clear"/>
                    <w:jc w:val="center"/>
                    <w:rPr>
                      <w:bCs/>
                      <w:lang w:val="en-GB"/>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090" w:type="dxa"/>
                  <w:shd w:val="clear" w:color="auto" w:fill="auto"/>
                  <w:vAlign w:val="center"/>
                </w:tcPr>
                <w:p>
                  <w:pPr>
                    <w:shd w:val="clear"/>
                    <w:jc w:val="center"/>
                    <w:rPr>
                      <w:bCs/>
                    </w:rPr>
                  </w:pPr>
                  <w:r>
                    <w:rPr>
                      <w:rFonts w:hint="eastAsia"/>
                      <w:bCs/>
                      <w:sz w:val="18"/>
                      <w:szCs w:val="18"/>
                    </w:rPr>
                    <w:t>冰鲜水</w:t>
                  </w:r>
                  <w:r>
                    <w:rPr>
                      <w:bCs/>
                      <w:sz w:val="18"/>
                      <w:szCs w:val="18"/>
                    </w:rPr>
                    <w:t>产品</w:t>
                  </w:r>
                  <w:r>
                    <w:rPr>
                      <w:rFonts w:hint="eastAsia"/>
                      <w:bCs/>
                      <w:sz w:val="18"/>
                      <w:szCs w:val="18"/>
                    </w:rPr>
                    <w:t>：</w:t>
                  </w:r>
                  <w:r>
                    <w:rPr>
                      <w:bCs/>
                      <w:sz w:val="18"/>
                      <w:szCs w:val="18"/>
                    </w:rPr>
                    <w:t>海</w:t>
                  </w:r>
                  <w:r>
                    <w:rPr>
                      <w:rFonts w:hint="eastAsia"/>
                      <w:bCs/>
                      <w:sz w:val="18"/>
                      <w:szCs w:val="18"/>
                    </w:rPr>
                    <w:t>蛏、</w:t>
                  </w:r>
                  <w:r>
                    <w:rPr>
                      <w:bCs/>
                      <w:sz w:val="18"/>
                      <w:szCs w:val="18"/>
                    </w:rPr>
                    <w:t>章</w:t>
                  </w:r>
                  <w:r>
                    <w:rPr>
                      <w:rFonts w:hint="eastAsia"/>
                      <w:bCs/>
                      <w:sz w:val="18"/>
                      <w:szCs w:val="18"/>
                    </w:rPr>
                    <w:t>鱼</w:t>
                  </w:r>
                  <w:r>
                    <w:rPr>
                      <w:bCs/>
                      <w:sz w:val="18"/>
                      <w:szCs w:val="18"/>
                    </w:rPr>
                    <w:t>、</w:t>
                  </w:r>
                  <w:r>
                    <w:rPr>
                      <w:rFonts w:hint="eastAsia"/>
                      <w:bCs/>
                      <w:sz w:val="18"/>
                      <w:szCs w:val="18"/>
                    </w:rPr>
                    <w:t>午</w:t>
                  </w:r>
                  <w:r>
                    <w:rPr>
                      <w:bCs/>
                      <w:sz w:val="18"/>
                      <w:szCs w:val="18"/>
                    </w:rPr>
                    <w:t>鱼、</w:t>
                  </w:r>
                  <w:r>
                    <w:rPr>
                      <w:rFonts w:hint="eastAsia"/>
                      <w:bCs/>
                      <w:sz w:val="18"/>
                      <w:szCs w:val="18"/>
                    </w:rPr>
                    <w:t>鲈</w:t>
                  </w:r>
                  <w:r>
                    <w:rPr>
                      <w:bCs/>
                      <w:sz w:val="18"/>
                      <w:szCs w:val="18"/>
                    </w:rPr>
                    <w:t>鱼、</w:t>
                  </w:r>
                  <w:r>
                    <w:rPr>
                      <w:bCs/>
                      <w:sz w:val="18"/>
                      <w:szCs w:val="18"/>
                      <w:lang w:val="en-GB"/>
                    </w:rPr>
                    <w:t xml:space="preserve"> </w:t>
                  </w:r>
                </w:p>
              </w:tc>
              <w:tc>
                <w:tcPr>
                  <w:tcW w:w="2410" w:type="dxa"/>
                  <w:shd w:val="clear" w:color="auto" w:fill="auto"/>
                  <w:vAlign w:val="center"/>
                </w:tcPr>
                <w:p>
                  <w:pPr>
                    <w:shd w:val="clea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shd w:val="clea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shd w:val="clear"/>
                    <w:jc w:val="center"/>
                    <w:rPr>
                      <w:bCs/>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316" w:type="dxa"/>
                  <w:shd w:val="clear" w:color="auto" w:fill="auto"/>
                  <w:vAlign w:val="center"/>
                </w:tcPr>
                <w:p>
                  <w:pPr>
                    <w:shd w:val="clea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shd w:val="clear"/>
                    <w:autoSpaceDE w:val="0"/>
                    <w:autoSpaceDN w:val="0"/>
                    <w:adjustRightInd w:val="0"/>
                    <w:jc w:val="center"/>
                    <w:rPr>
                      <w:bCs/>
                      <w:sz w:val="18"/>
                      <w:szCs w:val="18"/>
                    </w:rPr>
                  </w:pPr>
                  <w:r>
                    <w:rPr>
                      <w:bCs/>
                      <w:sz w:val="18"/>
                      <w:szCs w:val="18"/>
                    </w:rPr>
                    <w:sym w:font="Wingdings" w:char="00A8"/>
                  </w:r>
                  <w:r>
                    <w:rPr>
                      <w:bCs/>
                      <w:sz w:val="18"/>
                      <w:szCs w:val="18"/>
                    </w:rPr>
                    <w:t>企业自行检测</w:t>
                  </w:r>
                </w:p>
                <w:p>
                  <w:pPr>
                    <w:shd w:val="clear"/>
                    <w:jc w:val="center"/>
                    <w:rPr>
                      <w:bCs/>
                      <w:lang w:val="en-GB"/>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090" w:type="dxa"/>
                  <w:shd w:val="clear" w:color="auto" w:fill="auto"/>
                  <w:vAlign w:val="center"/>
                </w:tcPr>
                <w:p>
                  <w:pPr>
                    <w:shd w:val="clear"/>
                    <w:jc w:val="center"/>
                    <w:rPr>
                      <w:bCs/>
                      <w:lang w:val="en-GB"/>
                    </w:rPr>
                  </w:pPr>
                  <w:r>
                    <w:rPr>
                      <w:bCs/>
                      <w:sz w:val="18"/>
                      <w:szCs w:val="18"/>
                    </w:rPr>
                    <w:t>塑料</w:t>
                  </w:r>
                  <w:r>
                    <w:rPr>
                      <w:rFonts w:hint="eastAsia"/>
                      <w:bCs/>
                      <w:sz w:val="18"/>
                      <w:szCs w:val="18"/>
                    </w:rPr>
                    <w:t>框等塑料制品</w:t>
                  </w:r>
                </w:p>
              </w:tc>
              <w:tc>
                <w:tcPr>
                  <w:tcW w:w="2410" w:type="dxa"/>
                  <w:shd w:val="clear" w:color="auto" w:fill="auto"/>
                  <w:vAlign w:val="center"/>
                </w:tcPr>
                <w:p>
                  <w:pPr>
                    <w:shd w:val="clea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shd w:val="clea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shd w:val="clea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shd w:val="clear"/>
                    <w:jc w:val="center"/>
                    <w:rPr>
                      <w:bCs/>
                      <w:lang w:val="en-GB"/>
                    </w:rPr>
                  </w:pPr>
                  <w:r>
                    <w:rPr>
                      <w:bCs/>
                      <w:sz w:val="18"/>
                      <w:szCs w:val="18"/>
                    </w:rPr>
                    <w:sym w:font="Wingdings" w:char="00FE"/>
                  </w:r>
                  <w:r>
                    <w:rPr>
                      <w:sz w:val="18"/>
                      <w:szCs w:val="18"/>
                    </w:rPr>
                    <w:t>溶剂残留</w:t>
                  </w:r>
                </w:p>
              </w:tc>
              <w:tc>
                <w:tcPr>
                  <w:tcW w:w="2316" w:type="dxa"/>
                  <w:shd w:val="clear" w:color="auto" w:fill="auto"/>
                  <w:vAlign w:val="center"/>
                </w:tcPr>
                <w:p>
                  <w:pPr>
                    <w:shd w:val="clea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shd w:val="clear"/>
                    <w:autoSpaceDE w:val="0"/>
                    <w:autoSpaceDN w:val="0"/>
                    <w:adjustRightInd w:val="0"/>
                    <w:jc w:val="center"/>
                    <w:rPr>
                      <w:bCs/>
                      <w:sz w:val="18"/>
                      <w:szCs w:val="18"/>
                    </w:rPr>
                  </w:pPr>
                  <w:r>
                    <w:rPr>
                      <w:bCs/>
                      <w:sz w:val="18"/>
                      <w:szCs w:val="18"/>
                    </w:rPr>
                    <w:sym w:font="Wingdings" w:char="00A8"/>
                  </w:r>
                  <w:r>
                    <w:rPr>
                      <w:bCs/>
                      <w:sz w:val="18"/>
                      <w:szCs w:val="18"/>
                    </w:rPr>
                    <w:t>企业自行检测</w:t>
                  </w:r>
                </w:p>
                <w:p>
                  <w:pPr>
                    <w:shd w:val="clear"/>
                    <w:jc w:val="center"/>
                    <w:rPr>
                      <w:bCs/>
                      <w:lang w:val="en-GB"/>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090" w:type="dxa"/>
                  <w:shd w:val="clear" w:color="auto" w:fill="auto"/>
                  <w:vAlign w:val="center"/>
                </w:tcPr>
                <w:p>
                  <w:pPr>
                    <w:shd w:val="clear"/>
                    <w:jc w:val="center"/>
                    <w:rPr>
                      <w:bCs/>
                    </w:rPr>
                  </w:pPr>
                </w:p>
              </w:tc>
              <w:tc>
                <w:tcPr>
                  <w:tcW w:w="2410" w:type="dxa"/>
                  <w:shd w:val="clear" w:color="auto" w:fill="auto"/>
                  <w:vAlign w:val="center"/>
                </w:tcPr>
                <w:p>
                  <w:pPr>
                    <w:shd w:val="clea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shd w:val="clea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shd w:val="clear"/>
                    <w:jc w:val="center"/>
                    <w:rPr>
                      <w:bCs/>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2316" w:type="dxa"/>
                  <w:shd w:val="clear" w:color="auto" w:fill="auto"/>
                  <w:vAlign w:val="center"/>
                </w:tcPr>
                <w:p>
                  <w:pPr>
                    <w:shd w:val="clear"/>
                    <w:autoSpaceDE w:val="0"/>
                    <w:autoSpaceDN w:val="0"/>
                    <w:adjustRightInd w:val="0"/>
                    <w:jc w:val="center"/>
                    <w:rPr>
                      <w:bCs/>
                      <w:sz w:val="18"/>
                      <w:szCs w:val="18"/>
                    </w:rPr>
                  </w:pPr>
                  <w:r>
                    <w:rPr>
                      <w:bCs/>
                      <w:sz w:val="18"/>
                      <w:szCs w:val="18"/>
                    </w:rPr>
                    <w:sym w:font="Wingdings" w:char="00A8"/>
                  </w:r>
                  <w:r>
                    <w:rPr>
                      <w:bCs/>
                      <w:sz w:val="18"/>
                      <w:szCs w:val="18"/>
                    </w:rPr>
                    <w:t>向供方索取检测报告</w:t>
                  </w:r>
                </w:p>
                <w:p>
                  <w:pPr>
                    <w:shd w:val="clear"/>
                    <w:autoSpaceDE w:val="0"/>
                    <w:autoSpaceDN w:val="0"/>
                    <w:adjustRightInd w:val="0"/>
                    <w:jc w:val="center"/>
                    <w:rPr>
                      <w:bCs/>
                      <w:sz w:val="18"/>
                      <w:szCs w:val="18"/>
                    </w:rPr>
                  </w:pPr>
                  <w:r>
                    <w:rPr>
                      <w:bCs/>
                      <w:sz w:val="18"/>
                      <w:szCs w:val="18"/>
                    </w:rPr>
                    <w:sym w:font="Wingdings" w:char="00A8"/>
                  </w:r>
                  <w:r>
                    <w:rPr>
                      <w:bCs/>
                      <w:sz w:val="18"/>
                      <w:szCs w:val="18"/>
                    </w:rPr>
                    <w:t>企业自行检测</w:t>
                  </w:r>
                </w:p>
                <w:p>
                  <w:pPr>
                    <w:shd w:val="clear"/>
                    <w:jc w:val="center"/>
                    <w:rPr>
                      <w:bCs/>
                      <w:lang w:val="en-GB"/>
                    </w:rPr>
                  </w:pPr>
                  <w:r>
                    <w:rPr>
                      <w:bCs/>
                      <w:sz w:val="18"/>
                      <w:szCs w:val="18"/>
                    </w:rPr>
                    <w:sym w:font="Wingdings" w:char="00A8"/>
                  </w:r>
                  <w:r>
                    <w:rPr>
                      <w:bCs/>
                      <w:sz w:val="18"/>
                      <w:szCs w:val="18"/>
                    </w:rPr>
                    <w:t>第三方检测报告</w:t>
                  </w:r>
                </w:p>
              </w:tc>
            </w:tr>
          </w:tbl>
          <w:p>
            <w:pPr>
              <w:shd w:val="clear"/>
              <w:tabs>
                <w:tab w:val="right" w:pos="3119"/>
              </w:tabs>
              <w:rPr>
                <w:highlight w:val="yellow"/>
                <w:lang w:val="en-GB"/>
              </w:rPr>
            </w:pPr>
          </w:p>
          <w:p>
            <w:pPr>
              <w:shd w:val="clear"/>
              <w:tabs>
                <w:tab w:val="right" w:pos="3119"/>
              </w:tabs>
              <w:rPr>
                <w:rFonts w:hint="eastAsia"/>
                <w:highlight w:val="yellow"/>
                <w:lang w:val="en-GB"/>
              </w:rPr>
            </w:pPr>
            <w:r>
              <w:rPr>
                <w:rFonts w:hint="eastAsia"/>
                <w:highlight w:val="none"/>
                <w:lang w:val="en-GB"/>
              </w:rPr>
              <w:t>原辅材料</w:t>
            </w:r>
            <w:r>
              <w:rPr>
                <w:rFonts w:hint="eastAsia"/>
                <w:highlight w:val="none"/>
              </w:rPr>
              <w:t>危害分析</w:t>
            </w:r>
            <w:r>
              <w:rPr>
                <w:rFonts w:hint="eastAsia"/>
                <w:highlight w:val="none"/>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3"/>
              <w:gridCol w:w="2552"/>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523" w:type="dxa"/>
                  <w:shd w:val="clear" w:color="auto" w:fill="auto"/>
                  <w:vAlign w:val="center"/>
                </w:tcPr>
                <w:p>
                  <w:pPr>
                    <w:shd w:val="clear"/>
                    <w:jc w:val="center"/>
                    <w:rPr>
                      <w:bCs/>
                      <w:sz w:val="18"/>
                      <w:szCs w:val="18"/>
                    </w:rPr>
                  </w:pPr>
                  <w:r>
                    <w:rPr>
                      <w:bCs/>
                      <w:sz w:val="18"/>
                      <w:szCs w:val="18"/>
                    </w:rPr>
                    <w:t>主要原料名称</w:t>
                  </w:r>
                </w:p>
              </w:tc>
              <w:tc>
                <w:tcPr>
                  <w:tcW w:w="2552" w:type="dxa"/>
                  <w:shd w:val="clear" w:color="auto" w:fill="auto"/>
                  <w:vAlign w:val="center"/>
                </w:tcPr>
                <w:p>
                  <w:pPr>
                    <w:shd w:val="clear"/>
                    <w:jc w:val="center"/>
                    <w:rPr>
                      <w:bCs/>
                      <w:sz w:val="18"/>
                      <w:szCs w:val="18"/>
                    </w:rPr>
                  </w:pPr>
                  <w:r>
                    <w:rPr>
                      <w:bCs/>
                      <w:sz w:val="18"/>
                      <w:szCs w:val="18"/>
                    </w:rPr>
                    <w:t>潜在危害</w:t>
                  </w:r>
                </w:p>
              </w:tc>
              <w:tc>
                <w:tcPr>
                  <w:tcW w:w="2611" w:type="dxa"/>
                  <w:shd w:val="clear" w:color="auto" w:fill="auto"/>
                  <w:vAlign w:val="center"/>
                </w:tcPr>
                <w:p>
                  <w:pPr>
                    <w:shd w:val="clea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523" w:type="dxa"/>
                  <w:shd w:val="clear" w:color="auto" w:fill="auto"/>
                </w:tcPr>
                <w:p>
                  <w:pPr>
                    <w:shd w:val="clear"/>
                    <w:autoSpaceDE w:val="0"/>
                    <w:autoSpaceDN w:val="0"/>
                    <w:adjustRightInd w:val="0"/>
                    <w:jc w:val="center"/>
                    <w:rPr>
                      <w:bCs/>
                      <w:sz w:val="18"/>
                      <w:szCs w:val="18"/>
                      <w:lang w:val="en-GB"/>
                    </w:rPr>
                  </w:pPr>
                  <w:r>
                    <w:rPr>
                      <w:rFonts w:hint="eastAsia"/>
                      <w:bCs/>
                      <w:sz w:val="18"/>
                      <w:szCs w:val="18"/>
                    </w:rPr>
                    <w:t>鲜</w:t>
                  </w:r>
                  <w:r>
                    <w:rPr>
                      <w:rFonts w:hint="eastAsia"/>
                      <w:bCs/>
                      <w:szCs w:val="21"/>
                    </w:rPr>
                    <w:t>活水产品：海</w:t>
                  </w:r>
                  <w:r>
                    <w:rPr>
                      <w:bCs/>
                      <w:szCs w:val="21"/>
                    </w:rPr>
                    <w:t>胆、</w:t>
                  </w:r>
                  <w:r>
                    <w:rPr>
                      <w:rFonts w:hint="eastAsia"/>
                      <w:bCs/>
                      <w:szCs w:val="21"/>
                    </w:rPr>
                    <w:t>文</w:t>
                  </w:r>
                  <w:r>
                    <w:rPr>
                      <w:bCs/>
                      <w:szCs w:val="21"/>
                    </w:rPr>
                    <w:t>蛤、</w:t>
                  </w:r>
                  <w:r>
                    <w:rPr>
                      <w:rFonts w:hint="eastAsia"/>
                      <w:bCs/>
                      <w:szCs w:val="21"/>
                    </w:rPr>
                    <w:t>螃</w:t>
                  </w:r>
                  <w:r>
                    <w:rPr>
                      <w:bCs/>
                      <w:szCs w:val="21"/>
                    </w:rPr>
                    <w:t>蟹、</w:t>
                  </w:r>
                  <w:r>
                    <w:rPr>
                      <w:rFonts w:hint="eastAsia" w:ascii="Arial Narrow" w:hAnsi="Arial Narrow"/>
                      <w:w w:val="90"/>
                      <w:szCs w:val="21"/>
                    </w:rPr>
                    <w:t>鲫鱼、白</w:t>
                  </w:r>
                  <w:r>
                    <w:rPr>
                      <w:rFonts w:ascii="Arial Narrow" w:hAnsi="Arial Narrow"/>
                      <w:w w:val="90"/>
                      <w:szCs w:val="21"/>
                    </w:rPr>
                    <w:t>对</w:t>
                  </w:r>
                  <w:r>
                    <w:rPr>
                      <w:rFonts w:hint="eastAsia" w:ascii="Arial Narrow" w:hAnsi="Arial Narrow"/>
                      <w:w w:val="90"/>
                      <w:szCs w:val="21"/>
                    </w:rPr>
                    <w:t>虾</w:t>
                  </w:r>
                  <w:r>
                    <w:rPr>
                      <w:rFonts w:ascii="Arial Narrow" w:hAnsi="Arial Narrow"/>
                      <w:w w:val="90"/>
                      <w:szCs w:val="21"/>
                    </w:rPr>
                    <w:t>、</w:t>
                  </w:r>
                  <w:r>
                    <w:rPr>
                      <w:rFonts w:hint="eastAsia" w:ascii="Arial Narrow" w:hAnsi="Arial Narrow"/>
                      <w:w w:val="90"/>
                      <w:szCs w:val="21"/>
                    </w:rPr>
                    <w:t>小</w:t>
                  </w:r>
                  <w:r>
                    <w:rPr>
                      <w:rFonts w:ascii="Arial Narrow" w:hAnsi="Arial Narrow"/>
                      <w:w w:val="90"/>
                      <w:szCs w:val="21"/>
                    </w:rPr>
                    <w:t>蚌、</w:t>
                  </w:r>
                  <w:r>
                    <w:rPr>
                      <w:rFonts w:hint="eastAsia" w:ascii="Arial Narrow" w:hAnsi="Arial Narrow"/>
                      <w:w w:val="90"/>
                      <w:szCs w:val="21"/>
                    </w:rPr>
                    <w:t>小龙虾、带鱼、</w:t>
                  </w:r>
                  <w:r>
                    <w:rPr>
                      <w:rFonts w:ascii="Arial Narrow" w:hAnsi="Arial Narrow"/>
                      <w:w w:val="90"/>
                      <w:szCs w:val="21"/>
                    </w:rPr>
                    <w:t>斑节虾、</w:t>
                  </w:r>
                  <w:r>
                    <w:rPr>
                      <w:rFonts w:hint="eastAsia" w:ascii="Arial Narrow" w:hAnsi="Arial Narrow"/>
                      <w:w w:val="90"/>
                      <w:szCs w:val="21"/>
                    </w:rPr>
                    <w:t>桂</w:t>
                  </w:r>
                  <w:r>
                    <w:rPr>
                      <w:rFonts w:ascii="Arial Narrow" w:hAnsi="Arial Narrow"/>
                      <w:w w:val="90"/>
                      <w:szCs w:val="21"/>
                    </w:rPr>
                    <w:t>花鱼</w:t>
                  </w:r>
                  <w:r>
                    <w:rPr>
                      <w:rFonts w:hint="eastAsia" w:ascii="Arial Narrow" w:hAnsi="Arial Narrow"/>
                      <w:w w:val="90"/>
                      <w:szCs w:val="21"/>
                    </w:rPr>
                    <w:t>、</w:t>
                  </w:r>
                  <w:r>
                    <w:rPr>
                      <w:rFonts w:ascii="Arial Narrow" w:hAnsi="Arial Narrow"/>
                      <w:w w:val="90"/>
                      <w:szCs w:val="21"/>
                    </w:rPr>
                    <w:t>链鱼</w:t>
                  </w:r>
                  <w:r>
                    <w:rPr>
                      <w:rFonts w:hint="eastAsia" w:ascii="Arial Narrow" w:hAnsi="Arial Narrow"/>
                      <w:w w:val="90"/>
                      <w:szCs w:val="21"/>
                    </w:rPr>
                    <w:t>、</w:t>
                  </w:r>
                  <w:r>
                    <w:rPr>
                      <w:rFonts w:ascii="Arial Narrow" w:hAnsi="Arial Narrow"/>
                      <w:w w:val="90"/>
                      <w:szCs w:val="21"/>
                    </w:rPr>
                    <w:t>龙胆鱼、多宝鱼</w:t>
                  </w:r>
                  <w:r>
                    <w:rPr>
                      <w:rFonts w:hint="eastAsia" w:ascii="Arial Narrow" w:hAnsi="Arial Narrow"/>
                      <w:w w:val="90"/>
                      <w:szCs w:val="21"/>
                    </w:rPr>
                    <w:t>、</w:t>
                  </w:r>
                  <w:r>
                    <w:rPr>
                      <w:rFonts w:ascii="Arial Narrow" w:hAnsi="Arial Narrow"/>
                      <w:w w:val="90"/>
                      <w:szCs w:val="21"/>
                    </w:rPr>
                    <w:t>草鱼</w:t>
                  </w:r>
                  <w:r>
                    <w:rPr>
                      <w:rFonts w:hint="eastAsia" w:ascii="Arial Narrow" w:hAnsi="Arial Narrow"/>
                      <w:w w:val="90"/>
                      <w:szCs w:val="21"/>
                    </w:rPr>
                    <w:t>、</w:t>
                  </w:r>
                  <w:r>
                    <w:rPr>
                      <w:rFonts w:ascii="Arial Narrow" w:hAnsi="Arial Narrow"/>
                      <w:w w:val="90"/>
                      <w:szCs w:val="21"/>
                    </w:rPr>
                    <w:t>青</w:t>
                  </w:r>
                  <w:r>
                    <w:rPr>
                      <w:rFonts w:hint="eastAsia" w:ascii="Arial Narrow" w:hAnsi="Arial Narrow"/>
                      <w:w w:val="90"/>
                      <w:szCs w:val="21"/>
                    </w:rPr>
                    <w:t>斑</w:t>
                  </w:r>
                  <w:r>
                    <w:rPr>
                      <w:rFonts w:ascii="Arial Narrow" w:hAnsi="Arial Narrow"/>
                      <w:w w:val="90"/>
                      <w:szCs w:val="21"/>
                    </w:rPr>
                    <w:t>鱼</w:t>
                  </w:r>
                  <w:r>
                    <w:rPr>
                      <w:rFonts w:hint="eastAsia" w:ascii="Arial Narrow" w:hAnsi="Arial Narrow"/>
                      <w:w w:val="90"/>
                      <w:szCs w:val="21"/>
                    </w:rPr>
                    <w:t>、鳗鱼、</w:t>
                  </w:r>
                  <w:r>
                    <w:rPr>
                      <w:rFonts w:ascii="Arial Narrow" w:hAnsi="Arial Narrow"/>
                      <w:w w:val="90"/>
                      <w:szCs w:val="21"/>
                    </w:rPr>
                    <w:t>金</w:t>
                  </w:r>
                  <w:r>
                    <w:rPr>
                      <w:rFonts w:hint="eastAsia" w:ascii="Arial Narrow" w:hAnsi="Arial Narrow"/>
                      <w:w w:val="90"/>
                      <w:szCs w:val="21"/>
                    </w:rPr>
                    <w:t>鲳</w:t>
                  </w:r>
                  <w:r>
                    <w:rPr>
                      <w:rFonts w:ascii="Arial Narrow" w:hAnsi="Arial Narrow"/>
                      <w:w w:val="90"/>
                      <w:szCs w:val="21"/>
                    </w:rPr>
                    <w:t>鱼</w:t>
                  </w:r>
                </w:p>
              </w:tc>
              <w:tc>
                <w:tcPr>
                  <w:tcW w:w="2552" w:type="dxa"/>
                  <w:shd w:val="clear" w:color="auto" w:fill="auto"/>
                  <w:vAlign w:val="center"/>
                </w:tcPr>
                <w:p>
                  <w:pPr>
                    <w:shd w:val="clea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shd w:val="clea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shd w:val="clear"/>
                    <w:jc w:val="center"/>
                    <w:rPr>
                      <w:bCs/>
                      <w:sz w:val="18"/>
                      <w:szCs w:val="18"/>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611" w:type="dxa"/>
                  <w:shd w:val="clear" w:color="auto" w:fill="auto"/>
                  <w:vAlign w:val="center"/>
                </w:tcPr>
                <w:p>
                  <w:pPr>
                    <w:shd w:val="clear"/>
                    <w:autoSpaceDE w:val="0"/>
                    <w:autoSpaceDN w:val="0"/>
                    <w:adjustRightInd w:val="0"/>
                    <w:jc w:val="center"/>
                  </w:pPr>
                  <w:r>
                    <w:rPr>
                      <w:sz w:val="18"/>
                      <w:szCs w:val="18"/>
                    </w:rPr>
                    <w:sym w:font="Wingdings" w:char="00FE"/>
                  </w:r>
                  <w:r>
                    <w:rPr>
                      <w:bCs/>
                      <w:sz w:val="18"/>
                      <w:szCs w:val="18"/>
                    </w:rPr>
                    <w:t>向供方索取检测报告</w:t>
                  </w:r>
                </w:p>
                <w:p>
                  <w:pPr>
                    <w:shd w:val="clear"/>
                    <w:autoSpaceDE w:val="0"/>
                    <w:autoSpaceDN w:val="0"/>
                    <w:adjustRightInd w:val="0"/>
                    <w:jc w:val="center"/>
                    <w:rPr>
                      <w:bCs/>
                      <w:sz w:val="18"/>
                      <w:szCs w:val="18"/>
                    </w:rPr>
                  </w:pPr>
                  <w:r>
                    <w:rPr>
                      <w:bCs/>
                      <w:sz w:val="18"/>
                      <w:szCs w:val="18"/>
                    </w:rPr>
                    <w:sym w:font="Wingdings" w:char="00A8"/>
                  </w:r>
                  <w:r>
                    <w:rPr>
                      <w:bCs/>
                      <w:sz w:val="18"/>
                      <w:szCs w:val="18"/>
                    </w:rPr>
                    <w:t>企业自行检测</w:t>
                  </w:r>
                </w:p>
                <w:p>
                  <w:pPr>
                    <w:shd w:val="clea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23" w:type="dxa"/>
                  <w:shd w:val="clear" w:color="auto" w:fill="auto"/>
                  <w:vAlign w:val="center"/>
                </w:tcPr>
                <w:p>
                  <w:pPr>
                    <w:shd w:val="clear"/>
                    <w:autoSpaceDE w:val="0"/>
                    <w:autoSpaceDN w:val="0"/>
                    <w:adjustRightInd w:val="0"/>
                    <w:jc w:val="center"/>
                    <w:rPr>
                      <w:bCs/>
                      <w:sz w:val="18"/>
                      <w:szCs w:val="18"/>
                    </w:rPr>
                  </w:pPr>
                  <w:r>
                    <w:rPr>
                      <w:rFonts w:hint="eastAsia"/>
                      <w:bCs/>
                      <w:sz w:val="18"/>
                      <w:szCs w:val="18"/>
                    </w:rPr>
                    <w:t>冰鲜水</w:t>
                  </w:r>
                  <w:r>
                    <w:rPr>
                      <w:bCs/>
                      <w:sz w:val="18"/>
                      <w:szCs w:val="18"/>
                    </w:rPr>
                    <w:t>产品</w:t>
                  </w:r>
                  <w:r>
                    <w:rPr>
                      <w:rFonts w:hint="eastAsia"/>
                      <w:bCs/>
                      <w:sz w:val="18"/>
                      <w:szCs w:val="18"/>
                    </w:rPr>
                    <w:t>：</w:t>
                  </w:r>
                  <w:r>
                    <w:rPr>
                      <w:bCs/>
                      <w:sz w:val="18"/>
                      <w:szCs w:val="18"/>
                    </w:rPr>
                    <w:t>海</w:t>
                  </w:r>
                  <w:r>
                    <w:rPr>
                      <w:rFonts w:hint="eastAsia"/>
                      <w:bCs/>
                      <w:sz w:val="18"/>
                      <w:szCs w:val="18"/>
                    </w:rPr>
                    <w:t>蛏、</w:t>
                  </w:r>
                  <w:r>
                    <w:rPr>
                      <w:bCs/>
                      <w:sz w:val="18"/>
                      <w:szCs w:val="18"/>
                    </w:rPr>
                    <w:t>章</w:t>
                  </w:r>
                  <w:r>
                    <w:rPr>
                      <w:rFonts w:hint="eastAsia"/>
                      <w:bCs/>
                      <w:sz w:val="18"/>
                      <w:szCs w:val="18"/>
                    </w:rPr>
                    <w:t>鱼</w:t>
                  </w:r>
                  <w:r>
                    <w:rPr>
                      <w:bCs/>
                      <w:sz w:val="18"/>
                      <w:szCs w:val="18"/>
                    </w:rPr>
                    <w:t>、</w:t>
                  </w:r>
                  <w:r>
                    <w:rPr>
                      <w:rFonts w:hint="eastAsia"/>
                      <w:bCs/>
                      <w:sz w:val="18"/>
                      <w:szCs w:val="18"/>
                    </w:rPr>
                    <w:t>午</w:t>
                  </w:r>
                  <w:r>
                    <w:rPr>
                      <w:bCs/>
                      <w:sz w:val="18"/>
                      <w:szCs w:val="18"/>
                    </w:rPr>
                    <w:t>鱼、</w:t>
                  </w:r>
                  <w:r>
                    <w:rPr>
                      <w:rFonts w:hint="eastAsia"/>
                      <w:bCs/>
                      <w:sz w:val="18"/>
                      <w:szCs w:val="18"/>
                    </w:rPr>
                    <w:t>鲈</w:t>
                  </w:r>
                  <w:r>
                    <w:rPr>
                      <w:bCs/>
                      <w:sz w:val="18"/>
                      <w:szCs w:val="18"/>
                    </w:rPr>
                    <w:t>鱼、</w:t>
                  </w:r>
                  <w:r>
                    <w:rPr>
                      <w:bCs/>
                      <w:sz w:val="18"/>
                      <w:szCs w:val="18"/>
                      <w:lang w:val="en-GB"/>
                    </w:rPr>
                    <w:t xml:space="preserve"> </w:t>
                  </w:r>
                </w:p>
              </w:tc>
              <w:tc>
                <w:tcPr>
                  <w:tcW w:w="2552" w:type="dxa"/>
                  <w:shd w:val="clear" w:color="auto" w:fill="auto"/>
                  <w:vAlign w:val="center"/>
                </w:tcPr>
                <w:p>
                  <w:pPr>
                    <w:shd w:val="clea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shd w:val="clea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shd w:val="clear"/>
                    <w:ind w:firstLine="180" w:firstLineChars="100"/>
                    <w:rPr>
                      <w:sz w:val="18"/>
                      <w:szCs w:val="18"/>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2611" w:type="dxa"/>
                  <w:shd w:val="clear" w:color="auto" w:fill="auto"/>
                  <w:vAlign w:val="center"/>
                </w:tcPr>
                <w:p>
                  <w:pPr>
                    <w:shd w:val="clea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shd w:val="clear"/>
                    <w:autoSpaceDE w:val="0"/>
                    <w:autoSpaceDN w:val="0"/>
                    <w:adjustRightInd w:val="0"/>
                    <w:jc w:val="center"/>
                    <w:rPr>
                      <w:bCs/>
                      <w:sz w:val="18"/>
                      <w:szCs w:val="18"/>
                    </w:rPr>
                  </w:pPr>
                  <w:r>
                    <w:rPr>
                      <w:bCs/>
                      <w:sz w:val="18"/>
                      <w:szCs w:val="18"/>
                    </w:rPr>
                    <w:sym w:font="Wingdings" w:char="00A8"/>
                  </w:r>
                  <w:r>
                    <w:rPr>
                      <w:bCs/>
                      <w:sz w:val="18"/>
                      <w:szCs w:val="18"/>
                    </w:rPr>
                    <w:t>企业自行检测</w:t>
                  </w:r>
                </w:p>
                <w:p>
                  <w:pPr>
                    <w:shd w:val="clea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523" w:type="dxa"/>
                  <w:shd w:val="clear" w:color="auto" w:fill="auto"/>
                  <w:vAlign w:val="center"/>
                </w:tcPr>
                <w:p>
                  <w:pPr>
                    <w:shd w:val="clear"/>
                    <w:autoSpaceDE w:val="0"/>
                    <w:autoSpaceDN w:val="0"/>
                    <w:adjustRightInd w:val="0"/>
                    <w:jc w:val="center"/>
                    <w:rPr>
                      <w:bCs/>
                      <w:sz w:val="18"/>
                      <w:szCs w:val="18"/>
                      <w:lang w:val="en-GB"/>
                    </w:rPr>
                  </w:pPr>
                  <w:r>
                    <w:rPr>
                      <w:bCs/>
                      <w:sz w:val="18"/>
                      <w:szCs w:val="18"/>
                    </w:rPr>
                    <w:t>塑料</w:t>
                  </w:r>
                  <w:r>
                    <w:rPr>
                      <w:rFonts w:hint="eastAsia"/>
                      <w:bCs/>
                      <w:sz w:val="18"/>
                      <w:szCs w:val="18"/>
                    </w:rPr>
                    <w:t>框等塑料制品</w:t>
                  </w:r>
                </w:p>
              </w:tc>
              <w:tc>
                <w:tcPr>
                  <w:tcW w:w="2552" w:type="dxa"/>
                  <w:shd w:val="clear" w:color="auto" w:fill="auto"/>
                  <w:vAlign w:val="center"/>
                </w:tcPr>
                <w:p>
                  <w:pPr>
                    <w:shd w:val="clea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shd w:val="clea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shd w:val="clea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shd w:val="clear"/>
                    <w:jc w:val="center"/>
                    <w:rPr>
                      <w:bCs/>
                      <w:sz w:val="18"/>
                      <w:szCs w:val="18"/>
                      <w:lang w:val="en-GB"/>
                    </w:rPr>
                  </w:pPr>
                  <w:r>
                    <w:rPr>
                      <w:bCs/>
                      <w:sz w:val="18"/>
                      <w:szCs w:val="18"/>
                    </w:rPr>
                    <w:sym w:font="Wingdings" w:char="00FE"/>
                  </w:r>
                  <w:r>
                    <w:rPr>
                      <w:sz w:val="18"/>
                      <w:szCs w:val="18"/>
                    </w:rPr>
                    <w:t>溶剂残留</w:t>
                  </w:r>
                </w:p>
              </w:tc>
              <w:tc>
                <w:tcPr>
                  <w:tcW w:w="2611" w:type="dxa"/>
                  <w:shd w:val="clear" w:color="auto" w:fill="auto"/>
                  <w:vAlign w:val="center"/>
                </w:tcPr>
                <w:p>
                  <w:pPr>
                    <w:shd w:val="clea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shd w:val="clear"/>
                    <w:autoSpaceDE w:val="0"/>
                    <w:autoSpaceDN w:val="0"/>
                    <w:adjustRightInd w:val="0"/>
                    <w:jc w:val="center"/>
                    <w:rPr>
                      <w:bCs/>
                      <w:sz w:val="18"/>
                      <w:szCs w:val="18"/>
                    </w:rPr>
                  </w:pPr>
                  <w:r>
                    <w:rPr>
                      <w:bCs/>
                      <w:sz w:val="18"/>
                      <w:szCs w:val="18"/>
                    </w:rPr>
                    <w:sym w:font="Wingdings" w:char="00A8"/>
                  </w:r>
                  <w:r>
                    <w:rPr>
                      <w:bCs/>
                      <w:sz w:val="18"/>
                      <w:szCs w:val="18"/>
                    </w:rPr>
                    <w:t>企业自行检测</w:t>
                  </w:r>
                </w:p>
                <w:p>
                  <w:pPr>
                    <w:shd w:val="clea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523" w:type="dxa"/>
                  <w:shd w:val="clear" w:color="auto" w:fill="auto"/>
                  <w:vAlign w:val="center"/>
                </w:tcPr>
                <w:p>
                  <w:pPr>
                    <w:shd w:val="clear"/>
                    <w:autoSpaceDE w:val="0"/>
                    <w:autoSpaceDN w:val="0"/>
                    <w:adjustRightInd w:val="0"/>
                    <w:jc w:val="center"/>
                    <w:rPr>
                      <w:bCs/>
                      <w:sz w:val="18"/>
                      <w:szCs w:val="18"/>
                      <w:lang w:val="en-GB"/>
                    </w:rPr>
                  </w:pPr>
                </w:p>
              </w:tc>
              <w:tc>
                <w:tcPr>
                  <w:tcW w:w="2552" w:type="dxa"/>
                  <w:shd w:val="clear" w:color="auto" w:fill="auto"/>
                  <w:vAlign w:val="center"/>
                </w:tcPr>
                <w:p>
                  <w:pPr>
                    <w:shd w:val="clea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shd w:val="clea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shd w:val="clea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2611" w:type="dxa"/>
                  <w:shd w:val="clear" w:color="auto" w:fill="auto"/>
                  <w:vAlign w:val="center"/>
                </w:tcPr>
                <w:p>
                  <w:pPr>
                    <w:shd w:val="clear"/>
                    <w:autoSpaceDE w:val="0"/>
                    <w:autoSpaceDN w:val="0"/>
                    <w:adjustRightInd w:val="0"/>
                    <w:jc w:val="center"/>
                    <w:rPr>
                      <w:bCs/>
                      <w:sz w:val="18"/>
                      <w:szCs w:val="18"/>
                    </w:rPr>
                  </w:pPr>
                  <w:r>
                    <w:rPr>
                      <w:bCs/>
                      <w:sz w:val="18"/>
                      <w:szCs w:val="18"/>
                    </w:rPr>
                    <w:sym w:font="Wingdings" w:char="00A8"/>
                  </w:r>
                  <w:r>
                    <w:rPr>
                      <w:bCs/>
                      <w:sz w:val="18"/>
                      <w:szCs w:val="18"/>
                    </w:rPr>
                    <w:t>向供方索取检测报告</w:t>
                  </w:r>
                </w:p>
                <w:p>
                  <w:pPr>
                    <w:shd w:val="clear"/>
                    <w:autoSpaceDE w:val="0"/>
                    <w:autoSpaceDN w:val="0"/>
                    <w:adjustRightInd w:val="0"/>
                    <w:jc w:val="center"/>
                    <w:rPr>
                      <w:bCs/>
                      <w:sz w:val="18"/>
                      <w:szCs w:val="18"/>
                    </w:rPr>
                  </w:pPr>
                  <w:r>
                    <w:rPr>
                      <w:bCs/>
                      <w:sz w:val="18"/>
                      <w:szCs w:val="18"/>
                    </w:rPr>
                    <w:sym w:font="Wingdings" w:char="00A8"/>
                  </w:r>
                  <w:r>
                    <w:rPr>
                      <w:bCs/>
                      <w:sz w:val="18"/>
                      <w:szCs w:val="18"/>
                    </w:rPr>
                    <w:t>企业自行检测</w:t>
                  </w:r>
                </w:p>
                <w:p>
                  <w:pPr>
                    <w:shd w:val="clear"/>
                    <w:autoSpaceDE w:val="0"/>
                    <w:autoSpaceDN w:val="0"/>
                    <w:adjustRightInd w:val="0"/>
                    <w:jc w:val="center"/>
                    <w:rPr>
                      <w:sz w:val="18"/>
                      <w:szCs w:val="18"/>
                    </w:rPr>
                  </w:pPr>
                  <w:r>
                    <w:rPr>
                      <w:bCs/>
                      <w:sz w:val="18"/>
                      <w:szCs w:val="18"/>
                    </w:rPr>
                    <w:sym w:font="Wingdings" w:char="00A8"/>
                  </w:r>
                  <w:r>
                    <w:rPr>
                      <w:bCs/>
                      <w:sz w:val="18"/>
                      <w:szCs w:val="18"/>
                    </w:rPr>
                    <w:t>第三方检测报告</w:t>
                  </w:r>
                </w:p>
              </w:tc>
            </w:tr>
          </w:tbl>
          <w:p>
            <w:pPr>
              <w:pStyle w:val="2"/>
              <w:shd w:val="clear"/>
              <w:rPr>
                <w:rFonts w:hint="eastAsia"/>
                <w:lang w:val="en-GB"/>
              </w:rPr>
            </w:pPr>
          </w:p>
          <w:p>
            <w:pPr>
              <w:pStyle w:val="4"/>
              <w:shd w:val="clear"/>
              <w:ind w:left="0" w:leftChars="0"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026"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rPr>
                <w:rFonts w:hint="default" w:eastAsia="宋体"/>
                <w:lang w:val="en-US" w:eastAsia="zh-CN"/>
              </w:rPr>
            </w:pPr>
            <w:r>
              <w:rPr>
                <w:rFonts w:hint="eastAsia"/>
                <w:color w:val="0000FF"/>
                <w:lang w:val="en-US" w:eastAsia="zh-CN"/>
              </w:rPr>
              <w:t>——审核周期内未发生修订</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522"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t>危害控制计划 (HACCP/OPRP 计划)</w:t>
            </w:r>
          </w:p>
          <w:p>
            <w:pPr>
              <w:shd w:val="clear" w:color="auto"/>
            </w:pPr>
            <w:r>
              <w:t>组织建立、实施和保持HACCP计划。</w:t>
            </w:r>
          </w:p>
          <w:p>
            <w:pPr>
              <w:shd w:val="clear"/>
              <w:spacing w:before="240" w:after="120"/>
              <w:rPr>
                <w:rFonts w:hint="eastAsia"/>
                <w:lang w:val="en-US" w:eastAsia="zh-CN"/>
              </w:rPr>
            </w:pPr>
            <w:r>
              <w:rPr>
                <w:rFonts w:hint="eastAsia"/>
              </w:rPr>
              <w:t>OPRP</w:t>
            </w:r>
            <w:r>
              <w:rPr>
                <w:rFonts w:hint="eastAsia"/>
                <w:lang w:val="en-US" w:eastAsia="zh-CN"/>
              </w:rPr>
              <w:t>计划/</w:t>
            </w:r>
            <w:r>
              <w:rPr>
                <w:rFonts w:hint="eastAsia"/>
                <w:lang w:val="en-GB"/>
              </w:rPr>
              <w:t>HACCP计划1</w:t>
            </w:r>
            <w:r>
              <w:rPr>
                <w:rFonts w:hint="eastAsia"/>
                <w:lang w:val="en-US" w:eastAsia="zh-CN"/>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386"/>
              <w:gridCol w:w="1790"/>
              <w:gridCol w:w="2060"/>
              <w:gridCol w:w="2200"/>
              <w:gridCol w:w="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2386"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控制措施</w:t>
                  </w:r>
                </w:p>
              </w:tc>
              <w:tc>
                <w:tcPr>
                  <w:tcW w:w="1790"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所控制</w:t>
                  </w:r>
                  <w:r>
                    <w:rPr>
                      <w:rFonts w:hint="eastAsia"/>
                      <w:b/>
                      <w:color w:val="000000"/>
                      <w:sz w:val="21"/>
                      <w:szCs w:val="21"/>
                      <w:highlight w:val="none"/>
                      <w:lang w:val="en-US" w:eastAsia="zh-CN"/>
                    </w:rPr>
                    <w:t>显著</w:t>
                  </w:r>
                  <w:r>
                    <w:rPr>
                      <w:rFonts w:hint="eastAsia"/>
                      <w:b/>
                      <w:color w:val="000000"/>
                      <w:sz w:val="21"/>
                      <w:szCs w:val="21"/>
                      <w:highlight w:val="none"/>
                    </w:rPr>
                    <w:t>危害</w:t>
                  </w:r>
                </w:p>
              </w:tc>
              <w:tc>
                <w:tcPr>
                  <w:tcW w:w="2060" w:type="dxa"/>
                  <w:tcBorders>
                    <w:tl2br w:val="nil"/>
                    <w:tr2bl w:val="nil"/>
                  </w:tcBorders>
                  <w:tcMar>
                    <w:left w:w="0" w:type="dxa"/>
                    <w:right w:w="0" w:type="dxa"/>
                  </w:tcMar>
                  <w:vAlign w:val="center"/>
                </w:tcPr>
                <w:p>
                  <w:pPr>
                    <w:shd w:val="clear"/>
                    <w:spacing w:line="300" w:lineRule="exact"/>
                    <w:jc w:val="center"/>
                    <w:rPr>
                      <w:rFonts w:hint="default" w:eastAsia="宋体"/>
                      <w:b/>
                      <w:color w:val="000000"/>
                      <w:sz w:val="21"/>
                      <w:szCs w:val="21"/>
                      <w:highlight w:val="none"/>
                      <w:lang w:val="en-US" w:eastAsia="zh-CN"/>
                    </w:rPr>
                  </w:pPr>
                  <w:r>
                    <w:rPr>
                      <w:rFonts w:hint="eastAsia"/>
                      <w:b/>
                      <w:color w:val="000000"/>
                      <w:sz w:val="21"/>
                      <w:szCs w:val="21"/>
                      <w:highlight w:val="none"/>
                    </w:rPr>
                    <w:t>行动准则</w:t>
                  </w:r>
                  <w:r>
                    <w:rPr>
                      <w:rFonts w:hint="eastAsia"/>
                      <w:b/>
                      <w:color w:val="000000"/>
                      <w:sz w:val="21"/>
                      <w:szCs w:val="21"/>
                      <w:highlight w:val="none"/>
                      <w:lang w:val="en-US" w:eastAsia="zh-CN"/>
                    </w:rPr>
                    <w:t>/CL</w:t>
                  </w:r>
                </w:p>
              </w:tc>
              <w:tc>
                <w:tcPr>
                  <w:tcW w:w="2200"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val="en-US" w:eastAsia="zh-CN"/>
                    </w:rPr>
                  </w:pPr>
                  <w:r>
                    <w:rPr>
                      <w:rFonts w:hint="eastAsia"/>
                      <w:b/>
                      <w:color w:val="000000"/>
                      <w:sz w:val="21"/>
                      <w:szCs w:val="21"/>
                      <w:highlight w:val="none"/>
                    </w:rPr>
                    <w:t>监控</w:t>
                  </w:r>
                  <w:r>
                    <w:rPr>
                      <w:rFonts w:hint="eastAsia"/>
                      <w:b/>
                      <w:color w:val="000000"/>
                      <w:sz w:val="21"/>
                      <w:szCs w:val="21"/>
                      <w:highlight w:val="none"/>
                      <w:lang w:val="en-US" w:eastAsia="zh-CN"/>
                    </w:rPr>
                    <w:t>程序</w:t>
                  </w:r>
                </w:p>
              </w:tc>
              <w:tc>
                <w:tcPr>
                  <w:tcW w:w="615"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eastAsia="zh-CN"/>
                    </w:rPr>
                  </w:pPr>
                  <w:r>
                    <w:rPr>
                      <w:rFonts w:hint="eastAsia"/>
                      <w:b/>
                      <w:color w:val="000000"/>
                      <w:sz w:val="21"/>
                      <w:szCs w:val="21"/>
                      <w:highlight w:val="none"/>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386" w:type="dxa"/>
                  <w:tcBorders>
                    <w:tl2br w:val="nil"/>
                    <w:tr2bl w:val="nil"/>
                  </w:tcBorders>
                  <w:tcMar>
                    <w:left w:w="0" w:type="dxa"/>
                    <w:right w:w="0" w:type="dxa"/>
                  </w:tcMar>
                  <w:vAlign w:val="center"/>
                </w:tcPr>
                <w:p>
                  <w:pPr>
                    <w:shd w:val="clear"/>
                    <w:snapToGrid w:val="0"/>
                    <w:jc w:val="center"/>
                    <w:rPr>
                      <w:rFonts w:ascii="宋体" w:hAnsi="宋体"/>
                      <w:w w:val="90"/>
                      <w:szCs w:val="21"/>
                    </w:rPr>
                  </w:pPr>
                  <w:r>
                    <w:rPr>
                      <w:rFonts w:ascii="宋体" w:hAnsi="宋体"/>
                      <w:w w:val="90"/>
                      <w:szCs w:val="21"/>
                    </w:rPr>
                    <w:t>原料验收</w:t>
                  </w:r>
                </w:p>
                <w:p>
                  <w:pPr>
                    <w:shd w:val="clear"/>
                    <w:snapToGrid w:val="0"/>
                    <w:jc w:val="center"/>
                    <w:rPr>
                      <w:rFonts w:hint="default" w:ascii="宋体" w:hAnsi="宋体" w:eastAsia="宋体" w:cs="Times New Roman"/>
                      <w:w w:val="90"/>
                      <w:kern w:val="2"/>
                      <w:sz w:val="21"/>
                      <w:szCs w:val="21"/>
                      <w:lang w:val="en-US" w:eastAsia="zh-CN" w:bidi="ar-SA"/>
                    </w:rPr>
                  </w:pPr>
                  <w:r>
                    <w:rPr>
                      <w:rFonts w:hint="eastAsia" w:ascii="宋体" w:hAnsi="宋体"/>
                      <w:w w:val="90"/>
                      <w:szCs w:val="21"/>
                    </w:rPr>
                    <w:t>OPRP</w:t>
                  </w:r>
                  <w:r>
                    <w:rPr>
                      <w:rFonts w:ascii="宋体" w:hAnsi="宋体"/>
                      <w:w w:val="90"/>
                      <w:szCs w:val="21"/>
                    </w:rPr>
                    <w:t>01</w:t>
                  </w:r>
                  <w:r>
                    <w:rPr>
                      <w:rFonts w:hint="eastAsia" w:ascii="宋体" w:hAnsi="宋体"/>
                      <w:w w:val="90"/>
                      <w:szCs w:val="21"/>
                    </w:rPr>
                    <w:t>水产品（鲜活/冷冻）</w:t>
                  </w:r>
                </w:p>
              </w:tc>
              <w:tc>
                <w:tcPr>
                  <w:tcW w:w="1790" w:type="dxa"/>
                  <w:tcBorders>
                    <w:tl2br w:val="nil"/>
                    <w:tr2bl w:val="nil"/>
                  </w:tcBorders>
                  <w:tcMar>
                    <w:left w:w="0" w:type="dxa"/>
                    <w:right w:w="0" w:type="dxa"/>
                  </w:tcMar>
                  <w:vAlign w:val="center"/>
                </w:tcPr>
                <w:p>
                  <w:pPr>
                    <w:shd w:val="clear"/>
                    <w:snapToGrid w:val="0"/>
                    <w:jc w:val="center"/>
                    <w:rPr>
                      <w:rFonts w:hint="default" w:ascii="宋体" w:hAnsi="宋体" w:eastAsia="宋体" w:cs="Times New Roman"/>
                      <w:w w:val="90"/>
                      <w:kern w:val="2"/>
                      <w:sz w:val="21"/>
                      <w:szCs w:val="21"/>
                      <w:lang w:val="en-US" w:eastAsia="zh-CN" w:bidi="ar-SA"/>
                    </w:rPr>
                  </w:pPr>
                  <w:r>
                    <w:rPr>
                      <w:rFonts w:hint="eastAsia" w:ascii="宋体" w:hAnsi="宋体"/>
                      <w:w w:val="90"/>
                      <w:szCs w:val="21"/>
                    </w:rPr>
                    <w:t>孔雀石绿或氯霉素等超标</w:t>
                  </w:r>
                </w:p>
              </w:tc>
              <w:tc>
                <w:tcPr>
                  <w:tcW w:w="2060" w:type="dxa"/>
                  <w:tcBorders>
                    <w:tl2br w:val="nil"/>
                    <w:tr2bl w:val="nil"/>
                  </w:tcBorders>
                  <w:tcMar>
                    <w:left w:w="0" w:type="dxa"/>
                    <w:right w:w="0" w:type="dxa"/>
                  </w:tcMar>
                  <w:vAlign w:val="center"/>
                </w:tcPr>
                <w:p>
                  <w:pPr>
                    <w:shd w:val="clear"/>
                    <w:snapToGrid w:val="0"/>
                    <w:jc w:val="center"/>
                    <w:rPr>
                      <w:rFonts w:hint="eastAsia" w:ascii="宋体" w:hAnsi="宋体" w:cs="宋体"/>
                      <w:w w:val="90"/>
                      <w:szCs w:val="21"/>
                    </w:rPr>
                  </w:pPr>
                  <w:r>
                    <w:rPr>
                      <w:rFonts w:hint="eastAsia" w:ascii="宋体" w:hAnsi="宋体" w:cs="宋体"/>
                      <w:w w:val="90"/>
                      <w:szCs w:val="21"/>
                    </w:rPr>
                    <w:t>感官检验：新鲜、活跃、无腐烂、无异味。</w:t>
                  </w:r>
                </w:p>
                <w:p>
                  <w:pPr>
                    <w:shd w:val="clear"/>
                    <w:snapToGrid w:val="0"/>
                    <w:jc w:val="center"/>
                    <w:rPr>
                      <w:rFonts w:hint="default" w:ascii="宋体" w:hAnsi="宋体" w:eastAsia="宋体" w:cs="宋体"/>
                      <w:w w:val="90"/>
                      <w:kern w:val="2"/>
                      <w:sz w:val="21"/>
                      <w:szCs w:val="21"/>
                      <w:lang w:val="en-US" w:eastAsia="zh-CN" w:bidi="ar-SA"/>
                    </w:rPr>
                  </w:pPr>
                  <w:r>
                    <w:rPr>
                      <w:rFonts w:hint="eastAsia" w:ascii="宋体" w:hAnsi="宋体" w:cs="宋体"/>
                      <w:w w:val="90"/>
                      <w:szCs w:val="21"/>
                    </w:rPr>
                    <w:t>检测报告合格不得检出</w:t>
                  </w:r>
                </w:p>
              </w:tc>
              <w:tc>
                <w:tcPr>
                  <w:tcW w:w="2200"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检验员每批确认是否来自合格供方，每年索取第三方检测报告</w:t>
                  </w:r>
                </w:p>
              </w:tc>
              <w:tc>
                <w:tcPr>
                  <w:tcW w:w="615"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386" w:type="dxa"/>
                  <w:tcBorders>
                    <w:tl2br w:val="nil"/>
                    <w:tr2bl w:val="nil"/>
                  </w:tcBorders>
                  <w:tcMar>
                    <w:left w:w="0" w:type="dxa"/>
                    <w:right w:w="0" w:type="dxa"/>
                  </w:tcMar>
                  <w:vAlign w:val="center"/>
                </w:tcPr>
                <w:p>
                  <w:pPr>
                    <w:shd w:val="clear"/>
                    <w:snapToGrid w:val="0"/>
                    <w:jc w:val="center"/>
                    <w:rPr>
                      <w:rFonts w:hint="default" w:ascii="宋体" w:hAnsi="宋体" w:eastAsia="宋体" w:cs="Times New Roman"/>
                      <w:w w:val="90"/>
                      <w:kern w:val="2"/>
                      <w:sz w:val="21"/>
                      <w:szCs w:val="21"/>
                      <w:lang w:val="en-US" w:eastAsia="zh-CN" w:bidi="ar-SA"/>
                    </w:rPr>
                  </w:pPr>
                  <w:r>
                    <w:rPr>
                      <w:rFonts w:hint="eastAsia" w:ascii="宋体" w:hAnsi="宋体"/>
                      <w:w w:val="90"/>
                      <w:szCs w:val="21"/>
                    </w:rPr>
                    <w:t>冷藏保鲜OPRP2</w:t>
                  </w:r>
                </w:p>
              </w:tc>
              <w:tc>
                <w:tcPr>
                  <w:tcW w:w="1790" w:type="dxa"/>
                  <w:tcBorders>
                    <w:tl2br w:val="nil"/>
                    <w:tr2bl w:val="nil"/>
                  </w:tcBorders>
                  <w:tcMar>
                    <w:left w:w="0" w:type="dxa"/>
                    <w:right w:w="0" w:type="dxa"/>
                  </w:tcMar>
                  <w:vAlign w:val="center"/>
                </w:tcPr>
                <w:p>
                  <w:pPr>
                    <w:shd w:val="clear"/>
                    <w:snapToGrid w:val="0"/>
                    <w:jc w:val="center"/>
                    <w:rPr>
                      <w:rFonts w:hint="default" w:ascii="宋体" w:hAnsi="宋体" w:eastAsia="宋体" w:cs="Times New Roman"/>
                      <w:w w:val="90"/>
                      <w:kern w:val="2"/>
                      <w:sz w:val="21"/>
                      <w:szCs w:val="21"/>
                      <w:lang w:val="en-US" w:eastAsia="zh-CN" w:bidi="ar-SA"/>
                    </w:rPr>
                  </w:pPr>
                  <w:r>
                    <w:rPr>
                      <w:rFonts w:hint="eastAsia" w:ascii="宋体" w:hAnsi="宋体"/>
                      <w:w w:val="90"/>
                      <w:szCs w:val="21"/>
                    </w:rPr>
                    <w:t>微生物</w:t>
                  </w:r>
                  <w:r>
                    <w:rPr>
                      <w:rFonts w:ascii="宋体" w:hAnsi="宋体"/>
                      <w:w w:val="90"/>
                      <w:szCs w:val="21"/>
                    </w:rPr>
                    <w:t>危害：</w:t>
                  </w:r>
                  <w:r>
                    <w:rPr>
                      <w:rFonts w:hint="eastAsia" w:ascii="宋体" w:hAnsi="宋体"/>
                      <w:w w:val="90"/>
                      <w:szCs w:val="21"/>
                    </w:rPr>
                    <w:t>有害微生物，致病菌。</w:t>
                  </w:r>
                </w:p>
              </w:tc>
              <w:tc>
                <w:tcPr>
                  <w:tcW w:w="2060" w:type="dxa"/>
                  <w:tcBorders>
                    <w:tl2br w:val="nil"/>
                    <w:tr2bl w:val="nil"/>
                  </w:tcBorders>
                  <w:tcMar>
                    <w:left w:w="0" w:type="dxa"/>
                    <w:right w:w="0" w:type="dxa"/>
                  </w:tcMar>
                  <w:vAlign w:val="center"/>
                </w:tcPr>
                <w:p>
                  <w:pPr>
                    <w:shd w:val="clear"/>
                    <w:snapToGrid w:val="0"/>
                    <w:jc w:val="center"/>
                    <w:rPr>
                      <w:rFonts w:hint="default" w:ascii="宋体" w:hAnsi="宋体" w:eastAsia="宋体" w:cs="Times New Roman"/>
                      <w:w w:val="90"/>
                      <w:kern w:val="2"/>
                      <w:sz w:val="21"/>
                      <w:szCs w:val="21"/>
                      <w:lang w:val="en-US" w:eastAsia="zh-CN" w:bidi="ar-SA"/>
                    </w:rPr>
                  </w:pPr>
                  <w:r>
                    <w:rPr>
                      <w:rFonts w:hint="eastAsia" w:ascii="宋体" w:hAnsi="宋体"/>
                      <w:w w:val="90"/>
                      <w:szCs w:val="21"/>
                    </w:rPr>
                    <w:t>冷藏温度-</w:t>
                  </w:r>
                  <w:r>
                    <w:rPr>
                      <w:rFonts w:ascii="宋体" w:hAnsi="宋体"/>
                      <w:w w:val="90"/>
                      <w:szCs w:val="21"/>
                    </w:rPr>
                    <w:t>10</w:t>
                  </w:r>
                  <w:r>
                    <w:rPr>
                      <w:rFonts w:hint="eastAsia" w:ascii="宋体" w:hAnsi="宋体"/>
                      <w:w w:val="90"/>
                      <w:szCs w:val="21"/>
                    </w:rPr>
                    <w:t>℃及以下</w:t>
                  </w: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仓管员每班次查看冷库温度</w:t>
                  </w:r>
                </w:p>
              </w:tc>
              <w:tc>
                <w:tcPr>
                  <w:tcW w:w="615" w:type="dxa"/>
                  <w:tcBorders>
                    <w:tl2br w:val="nil"/>
                    <w:tr2bl w:val="nil"/>
                  </w:tcBorders>
                  <w:tcMar>
                    <w:left w:w="0" w:type="dxa"/>
                    <w:right w:w="0" w:type="dxa"/>
                  </w:tcMar>
                  <w:vAlign w:val="center"/>
                </w:tcPr>
                <w:p>
                  <w:pPr>
                    <w:shd w:val="clear"/>
                    <w:spacing w:line="192" w:lineRule="auto"/>
                    <w:rPr>
                      <w:rFonts w:hint="eastAsia"/>
                      <w:sz w:val="21"/>
                      <w:szCs w:val="21"/>
                      <w:highlight w:val="none"/>
                      <w:lang w:eastAsia="zh-CN"/>
                    </w:rPr>
                  </w:pPr>
                  <w:r>
                    <w:rPr>
                      <w:rFonts w:hint="eastAsia"/>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86"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p>
              </w:tc>
              <w:tc>
                <w:tcPr>
                  <w:tcW w:w="1790" w:type="dxa"/>
                  <w:tcBorders>
                    <w:tl2br w:val="nil"/>
                    <w:tr2bl w:val="nil"/>
                  </w:tcBorders>
                  <w:tcMar>
                    <w:left w:w="0" w:type="dxa"/>
                    <w:right w:w="0" w:type="dxa"/>
                  </w:tcMar>
                  <w:vAlign w:val="center"/>
                </w:tcPr>
                <w:p>
                  <w:pPr>
                    <w:shd w:val="clear"/>
                    <w:spacing w:line="192" w:lineRule="auto"/>
                    <w:rPr>
                      <w:rFonts w:hint="eastAsia"/>
                      <w:color w:val="000000"/>
                      <w:sz w:val="21"/>
                      <w:szCs w:val="21"/>
                      <w:highlight w:val="none"/>
                      <w:lang w:val="en-US" w:eastAsia="zh-CN"/>
                    </w:rPr>
                  </w:pPr>
                </w:p>
              </w:tc>
              <w:tc>
                <w:tcPr>
                  <w:tcW w:w="2060" w:type="dxa"/>
                  <w:tcBorders>
                    <w:tl2br w:val="nil"/>
                    <w:tr2bl w:val="nil"/>
                  </w:tcBorders>
                  <w:tcMar>
                    <w:left w:w="0" w:type="dxa"/>
                    <w:right w:w="0" w:type="dxa"/>
                  </w:tcMar>
                  <w:vAlign w:val="center"/>
                </w:tcPr>
                <w:p>
                  <w:pPr>
                    <w:pStyle w:val="6"/>
                    <w:numPr>
                      <w:ilvl w:val="0"/>
                      <w:numId w:val="0"/>
                    </w:numPr>
                    <w:shd w:val="clear"/>
                    <w:ind w:leftChars="0"/>
                    <w:rPr>
                      <w:rFonts w:hint="eastAsia"/>
                      <w:sz w:val="21"/>
                      <w:szCs w:val="21"/>
                      <w:highlight w:val="none"/>
                      <w:lang w:val="en-US" w:eastAsia="zh-CN"/>
                    </w:rPr>
                  </w:pP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p>
              </w:tc>
              <w:tc>
                <w:tcPr>
                  <w:tcW w:w="615"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p>
              </w:tc>
            </w:tr>
          </w:tbl>
          <w:p>
            <w:pPr>
              <w:pStyle w:val="4"/>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b/>
                <w:bCs/>
              </w:rPr>
            </w:pPr>
            <w:r>
              <w:rPr>
                <w:b/>
                <w:bCs/>
              </w:rPr>
              <w:t>超出关键限值或行动限值采取的措施</w:t>
            </w:r>
          </w:p>
          <w:p>
            <w:pPr>
              <w:shd w:val="clear" w:color="auto"/>
            </w:pPr>
            <w:r>
              <w:t>组织规定超出行动限值或行动限值时所采取的纠正和纠正措施。并确保：</w:t>
            </w:r>
          </w:p>
          <w:p>
            <w:pPr>
              <w:shd w:val="clear" w:color="auto"/>
            </w:pPr>
            <w:r>
              <w:t>a) 潜在不安全产品未放行；</w:t>
            </w:r>
          </w:p>
          <w:p>
            <w:pPr>
              <w:shd w:val="clear" w:color="auto"/>
            </w:pPr>
            <w:r>
              <w:t>b) 查明不符合的原因；</w:t>
            </w:r>
          </w:p>
          <w:p>
            <w:pPr>
              <w:shd w:val="clear" w:color="auto"/>
            </w:pPr>
            <w:r>
              <w:t>c)</w:t>
            </w:r>
            <w:r>
              <w:rPr>
                <w:rFonts w:hint="eastAsia"/>
              </w:rPr>
              <w:t xml:space="preserve"> </w:t>
            </w:r>
            <w:r>
              <w:t>使在CCP和OPRP控制的参数回到关键限值或行动限值内；</w:t>
            </w:r>
          </w:p>
          <w:p>
            <w:pPr>
              <w:shd w:val="clear" w:color="auto"/>
            </w:pPr>
            <w:r>
              <w:t>d）防止再次发生。</w:t>
            </w:r>
          </w:p>
          <w:p>
            <w:pPr>
              <w:shd w:val="clear"/>
              <w:tabs>
                <w:tab w:val="right" w:pos="3119"/>
              </w:tabs>
            </w:pPr>
          </w:p>
          <w:p>
            <w:pPr>
              <w:shd w:val="clea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rPr>
                <w:b/>
                <w:bCs/>
              </w:rPr>
            </w:pPr>
            <w:r>
              <w:t xml:space="preserve"> </w:t>
            </w:r>
            <w:r>
              <w:rPr>
                <w:b/>
                <w:bCs/>
              </w:rPr>
              <w:t>PRP和 危害控制计划文件的更新</w:t>
            </w:r>
          </w:p>
          <w:p>
            <w:pPr>
              <w:shd w:val="clear" w:color="auto"/>
              <w:rPr>
                <w:rFonts w:hint="eastAsia"/>
                <w:lang w:val="en-US" w:eastAsia="zh-CN"/>
              </w:rPr>
            </w:pPr>
            <w:r>
              <w:t>制定OPRP计划和（或） HACCP计划后，组织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eastAsia="zh-CN"/>
              </w:rPr>
              <w:t>——</w:t>
            </w:r>
            <w:r>
              <w:rPr>
                <w:rFonts w:hint="eastAsia"/>
                <w:lang w:val="en-US" w:eastAsia="zh-CN"/>
              </w:rPr>
              <w:t>审核周期内文件未发生更新</w:t>
            </w:r>
          </w:p>
          <w:p>
            <w:pPr>
              <w:shd w:val="clear" w:color="auto"/>
            </w:pPr>
            <w:r>
              <w:rPr>
                <w:rFonts w:hint="eastAsia"/>
                <w:lang w:eastAsia="zh-CN"/>
              </w:rPr>
              <w:t>□</w:t>
            </w:r>
            <w:r>
              <w:rPr>
                <w:rFonts w:hint="eastAsia"/>
              </w:rPr>
              <w:t xml:space="preserve"> </w:t>
            </w:r>
            <w:r>
              <w:t>原料、 辅料和与产品接触材料的特性；</w:t>
            </w:r>
          </w:p>
          <w:p>
            <w:pPr>
              <w:shd w:val="clear" w:color="auto"/>
            </w:pPr>
            <w:r>
              <w:rPr>
                <w:rFonts w:hint="eastAsia"/>
                <w:lang w:eastAsia="zh-CN"/>
              </w:rPr>
              <w:t>□</w:t>
            </w:r>
            <w:r>
              <w:t xml:space="preserve"> 成品特性；</w:t>
            </w:r>
          </w:p>
          <w:p>
            <w:pPr>
              <w:shd w:val="clear" w:color="auto"/>
            </w:pPr>
            <w:r>
              <w:rPr>
                <w:rFonts w:hint="eastAsia"/>
                <w:lang w:eastAsia="zh-CN"/>
              </w:rPr>
              <w:t>□</w:t>
            </w:r>
            <w:r>
              <w:t xml:space="preserve"> 预期用途；</w:t>
            </w:r>
          </w:p>
          <w:p>
            <w:pPr>
              <w:shd w:val="clear" w:color="auto"/>
            </w:pPr>
            <w:r>
              <w:rPr>
                <w:rFonts w:hint="eastAsia"/>
                <w:lang w:eastAsia="zh-CN"/>
              </w:rPr>
              <w:t>□</w:t>
            </w:r>
            <w:r>
              <w:t xml:space="preserve"> 流程图、 工艺步骤和控制措施。</w:t>
            </w:r>
          </w:p>
          <w:p>
            <w:pPr>
              <w:shd w:val="clear" w:color="auto"/>
            </w:pPr>
            <w:r>
              <w:rPr>
                <w:rFonts w:hint="eastAsia"/>
                <w:lang w:eastAsia="zh-CN"/>
              </w:rPr>
              <w:t>□</w:t>
            </w:r>
            <w:r>
              <w:t>HACCP计划、 OPRP计划和/或PRP。</w:t>
            </w:r>
          </w:p>
          <w:p>
            <w:pPr>
              <w:shd w:val="clear" w:color="auto"/>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b/>
                <w:bCs/>
                <w:highlight w:val="none"/>
              </w:rPr>
            </w:pPr>
            <w:r>
              <w:rPr>
                <w:b/>
                <w:bCs/>
                <w:highlight w:val="none"/>
              </w:rPr>
              <w:t>监视和测量的控制</w:t>
            </w:r>
          </w:p>
          <w:p>
            <w:pPr>
              <w:shd w:val="clear" w:color="auto"/>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 xml:space="preserve">方法依据：  </w:t>
            </w:r>
            <w:r>
              <w:rPr>
                <w:rFonts w:hint="eastAsia"/>
                <w:highlight w:val="none"/>
                <w:lang w:eastAsia="zh-CN"/>
              </w:rPr>
              <w:sym w:font="Wingdings 2" w:char="0052"/>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52"/>
            </w:r>
            <w:r>
              <w:rPr>
                <w:rFonts w:hint="eastAsia"/>
                <w:highlight w:val="none"/>
              </w:rPr>
              <w:t xml:space="preserve">计量器具   </w:t>
            </w:r>
            <w:r>
              <w:rPr>
                <w:rFonts w:hint="eastAsia"/>
                <w:highlight w:val="none"/>
              </w:rPr>
              <w:sym w:font="Wingdings" w:char="00A8"/>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FE"/>
            </w:r>
            <w:r>
              <w:rPr>
                <w:rFonts w:hint="eastAsia"/>
                <w:highlight w:val="none"/>
              </w:rPr>
              <w:t xml:space="preserve">自校   </w:t>
            </w:r>
            <w:r>
              <w:rPr>
                <w:rFonts w:hint="eastAsia"/>
                <w:highlight w:val="none"/>
                <w:lang w:eastAsia="zh-CN"/>
              </w:rPr>
              <w:sym w:font="Wingdings 2" w:char="0052"/>
            </w:r>
            <w:r>
              <w:rPr>
                <w:rFonts w:hint="eastAsia"/>
                <w:highlight w:val="none"/>
              </w:rPr>
              <w:t xml:space="preserve">外校 </w:t>
            </w:r>
          </w:p>
          <w:p>
            <w:pPr>
              <w:shd w:val="clear" w:color="auto"/>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中心温度计（自校）、电子台秤</w:t>
            </w:r>
            <w:r>
              <w:rPr>
                <w:rFonts w:hint="eastAsia"/>
                <w:highlight w:val="none"/>
                <w:u w:val="single"/>
              </w:rPr>
              <w:t xml:space="preserve">     </w:t>
            </w:r>
            <w:r>
              <w:rPr>
                <w:rFonts w:hint="eastAsia"/>
                <w:highlight w:val="none"/>
              </w:rPr>
              <w:t xml:space="preserve">     （列举1~4种）</w:t>
            </w:r>
          </w:p>
          <w:p>
            <w:pPr>
              <w:shd w:val="clear" w:color="auto"/>
              <w:rPr>
                <w:rFonts w:hint="default" w:eastAsia="宋体"/>
                <w:color w:val="FF0000"/>
                <w:highlight w:val="yellow"/>
                <w:u w:val="single"/>
                <w:lang w:val="en-US" w:eastAsia="zh-CN"/>
              </w:rPr>
            </w:pPr>
            <w:r>
              <w:rPr>
                <w:rFonts w:hint="eastAsia"/>
                <w:highlight w:val="none"/>
              </w:rPr>
              <w:t>计量器具管理：</w:t>
            </w:r>
            <w:r>
              <w:rPr>
                <w:rFonts w:hint="eastAsia"/>
                <w:highlight w:val="none"/>
                <w:lang w:eastAsia="zh-CN"/>
              </w:rPr>
              <w:sym w:font="Wingdings 2" w:char="0052"/>
            </w:r>
            <w:r>
              <w:rPr>
                <w:rFonts w:hint="eastAsia"/>
                <w:highlight w:val="none"/>
              </w:rPr>
              <w:t xml:space="preserve">进行了定期校准/检定  </w:t>
            </w:r>
            <w:r>
              <w:rPr>
                <w:rFonts w:hint="eastAsia"/>
                <w:highlight w:val="none"/>
              </w:rPr>
              <w:sym w:font="Wingdings" w:char="00A8"/>
            </w:r>
            <w:r>
              <w:rPr>
                <w:rFonts w:hint="eastAsia"/>
                <w:highlight w:val="none"/>
              </w:rPr>
              <w:t>未进行定期校准/检定的有：</w:t>
            </w:r>
            <w:r>
              <w:rPr>
                <w:rFonts w:hint="eastAsia" w:ascii="方正仿宋简体" w:eastAsia="方正仿宋简体"/>
                <w:b/>
                <w:color w:val="FF0000"/>
                <w:u w:val="single"/>
                <w:lang w:val="en-US" w:eastAsia="zh-CN"/>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275"/>
              <w:gridCol w:w="1824"/>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hd w:val="clear"/>
                    <w:rPr>
                      <w:color w:val="000000" w:themeColor="text1"/>
                      <w:highlight w:val="none"/>
                    </w:rPr>
                  </w:pPr>
                  <w:r>
                    <w:rPr>
                      <w:rFonts w:hint="eastAsia"/>
                      <w:color w:val="000000" w:themeColor="text1"/>
                      <w:highlight w:val="none"/>
                    </w:rPr>
                    <w:t>计量器具名称</w:t>
                  </w:r>
                </w:p>
              </w:tc>
              <w:tc>
                <w:tcPr>
                  <w:tcW w:w="2275" w:type="dxa"/>
                </w:tcPr>
                <w:p>
                  <w:pPr>
                    <w:shd w:val="clear"/>
                    <w:rPr>
                      <w:color w:val="0C0C0C" w:themeColor="text1" w:themeTint="F2"/>
                      <w:highlight w:val="none"/>
                    </w:rPr>
                  </w:pPr>
                  <w:r>
                    <w:rPr>
                      <w:rFonts w:hint="eastAsia"/>
                      <w:color w:val="0C0C0C" w:themeColor="text1" w:themeTint="F2"/>
                      <w:highlight w:val="none"/>
                    </w:rPr>
                    <w:t>检定或校准证书编号</w:t>
                  </w:r>
                </w:p>
              </w:tc>
              <w:tc>
                <w:tcPr>
                  <w:tcW w:w="1824" w:type="dxa"/>
                </w:tcPr>
                <w:p>
                  <w:pPr>
                    <w:shd w:val="clear"/>
                    <w:rPr>
                      <w:color w:val="0C0C0C" w:themeColor="text1" w:themeTint="F2"/>
                      <w:highlight w:val="none"/>
                    </w:rPr>
                  </w:pPr>
                  <w:r>
                    <w:rPr>
                      <w:rFonts w:hint="eastAsia"/>
                      <w:color w:val="0C0C0C" w:themeColor="text1" w:themeTint="F2"/>
                      <w:highlight w:val="none"/>
                    </w:rPr>
                    <w:t>校准日期</w:t>
                  </w:r>
                </w:p>
              </w:tc>
              <w:tc>
                <w:tcPr>
                  <w:tcW w:w="2550" w:type="dxa"/>
                </w:tcPr>
                <w:p>
                  <w:pPr>
                    <w:shd w:val="clear"/>
                    <w:rPr>
                      <w:color w:val="000000" w:themeColor="text1"/>
                      <w:highlight w:val="none"/>
                    </w:rPr>
                  </w:pPr>
                  <w:r>
                    <w:rPr>
                      <w:rFonts w:hint="eastAsia"/>
                      <w:color w:val="000000" w:themeColor="text1"/>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hd w:val="clear"/>
                    <w:rPr>
                      <w:rFonts w:hint="eastAsia" w:eastAsia="宋体"/>
                      <w:szCs w:val="21"/>
                      <w:highlight w:val="none"/>
                      <w:lang w:eastAsia="zh-CN"/>
                    </w:rPr>
                  </w:pPr>
                  <w:r>
                    <w:rPr>
                      <w:rFonts w:hint="eastAsia"/>
                      <w:szCs w:val="21"/>
                      <w:highlight w:val="none"/>
                    </w:rPr>
                    <w:t>电子台秤</w:t>
                  </w:r>
                  <w:r>
                    <w:rPr>
                      <w:rFonts w:hint="eastAsia"/>
                      <w:szCs w:val="21"/>
                      <w:highlight w:val="none"/>
                      <w:lang w:eastAsia="zh-CN"/>
                    </w:rPr>
                    <w:t>（TCS-</w:t>
                  </w:r>
                  <w:r>
                    <w:rPr>
                      <w:rFonts w:hint="eastAsia"/>
                      <w:szCs w:val="21"/>
                      <w:highlight w:val="none"/>
                      <w:lang w:val="en-US" w:eastAsia="zh-CN"/>
                    </w:rPr>
                    <w:t>300</w:t>
                  </w:r>
                  <w:r>
                    <w:rPr>
                      <w:rFonts w:hint="eastAsia"/>
                      <w:szCs w:val="21"/>
                      <w:highlight w:val="none"/>
                      <w:lang w:eastAsia="zh-CN"/>
                    </w:rPr>
                    <w:t>）</w:t>
                  </w:r>
                </w:p>
              </w:tc>
              <w:tc>
                <w:tcPr>
                  <w:tcW w:w="2275" w:type="dxa"/>
                </w:tcPr>
                <w:p>
                  <w:pPr>
                    <w:shd w:val="clear"/>
                    <w:rPr>
                      <w:rFonts w:hint="default" w:eastAsia="宋体"/>
                      <w:szCs w:val="21"/>
                      <w:highlight w:val="none"/>
                      <w:lang w:val="en-US" w:eastAsia="zh-CN"/>
                    </w:rPr>
                  </w:pPr>
                  <w:r>
                    <w:rPr>
                      <w:rFonts w:hint="eastAsia"/>
                      <w:szCs w:val="21"/>
                      <w:highlight w:val="none"/>
                      <w:lang w:val="en-US" w:eastAsia="zh-CN"/>
                    </w:rPr>
                    <w:t>LX2021-05682</w:t>
                  </w:r>
                </w:p>
              </w:tc>
              <w:tc>
                <w:tcPr>
                  <w:tcW w:w="1824"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2021年7月30日</w:t>
                  </w:r>
                </w:p>
              </w:tc>
              <w:tc>
                <w:tcPr>
                  <w:tcW w:w="2550" w:type="dxa"/>
                  <w:vAlign w:val="top"/>
                </w:tcPr>
                <w:p>
                  <w:pPr>
                    <w:shd w:val="clear"/>
                    <w:rPr>
                      <w:rFonts w:hint="eastAsia" w:ascii="Times New Roman" w:hAnsi="Times New Roman" w:eastAsia="宋体" w:cs="Times New Roman"/>
                      <w:kern w:val="2"/>
                      <w:sz w:val="21"/>
                      <w:highlight w:val="none"/>
                      <w:lang w:val="en-US" w:eastAsia="zh-CN" w:bidi="ar-SA"/>
                    </w:rPr>
                  </w:pPr>
                  <w:r>
                    <w:rPr>
                      <w:highlight w:val="none"/>
                    </w:rPr>
                    <w:sym w:font="Wingdings" w:char="00FE"/>
                  </w:r>
                  <w:r>
                    <w:rPr>
                      <w:rFonts w:hint="eastAsia"/>
                      <w:highlight w:val="none"/>
                      <w:lang w:val="en-US" w:eastAsia="zh-CN"/>
                    </w:rPr>
                    <w:t>分拣大厅</w:t>
                  </w:r>
                  <w:r>
                    <w:rPr>
                      <w:rFonts w:hint="eastAsia"/>
                      <w:highlight w:val="none"/>
                    </w:rPr>
                    <w:t xml:space="preserve">   </w:t>
                  </w:r>
                  <w:r>
                    <w:rPr>
                      <w:highlight w:val="none"/>
                    </w:rPr>
                    <w:sym w:font="Wingdings" w:char="00A8"/>
                  </w:r>
                  <w:r>
                    <w:rPr>
                      <w:rFonts w:hint="eastAsia"/>
                      <w:highlight w:val="none"/>
                      <w:lang w:val="en-US" w:eastAsia="zh-CN"/>
                    </w:rPr>
                    <w:t>化验室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hd w:val="clear"/>
                    <w:rPr>
                      <w:szCs w:val="21"/>
                      <w:highlight w:val="none"/>
                    </w:rPr>
                  </w:pPr>
                </w:p>
              </w:tc>
              <w:tc>
                <w:tcPr>
                  <w:tcW w:w="2275" w:type="dxa"/>
                </w:tcPr>
                <w:p>
                  <w:pPr>
                    <w:shd w:val="clear"/>
                    <w:rPr>
                      <w:szCs w:val="21"/>
                      <w:highlight w:val="none"/>
                    </w:rPr>
                  </w:pPr>
                </w:p>
              </w:tc>
              <w:tc>
                <w:tcPr>
                  <w:tcW w:w="1824" w:type="dxa"/>
                </w:tcPr>
                <w:p>
                  <w:pPr>
                    <w:shd w:val="clear"/>
                    <w:rPr>
                      <w:highlight w:val="none"/>
                    </w:rPr>
                  </w:pPr>
                </w:p>
              </w:tc>
              <w:tc>
                <w:tcPr>
                  <w:tcW w:w="2550" w:type="dxa"/>
                </w:tcPr>
                <w:p>
                  <w:pPr>
                    <w:shd w:val="clear"/>
                    <w:rPr>
                      <w:highlight w:val="none"/>
                    </w:rPr>
                  </w:pPr>
                  <w:r>
                    <w:rPr>
                      <w:highlight w:val="none"/>
                    </w:rPr>
                    <w:sym w:font="Wingdings" w:char="00A8"/>
                  </w:r>
                  <w:r>
                    <w:rPr>
                      <w:rFonts w:hint="eastAsia"/>
                      <w:highlight w:val="none"/>
                    </w:rPr>
                    <w:t xml:space="preserve">仓库    </w:t>
                  </w:r>
                  <w:r>
                    <w:rPr>
                      <w:highlight w:val="none"/>
                    </w:rPr>
                    <w:sym w:font="Wingdings" w:char="00A8"/>
                  </w:r>
                  <w:r>
                    <w:rPr>
                      <w:rFonts w:hint="eastAsia"/>
                      <w:highlight w:val="none"/>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hd w:val="clear"/>
                    <w:rPr>
                      <w:rFonts w:hint="default" w:eastAsia="宋体"/>
                      <w:szCs w:val="21"/>
                      <w:highlight w:val="none"/>
                      <w:lang w:val="en-US" w:eastAsia="zh-CN"/>
                    </w:rPr>
                  </w:pPr>
                </w:p>
              </w:tc>
              <w:tc>
                <w:tcPr>
                  <w:tcW w:w="2275" w:type="dxa"/>
                </w:tcPr>
                <w:p>
                  <w:pPr>
                    <w:shd w:val="clear"/>
                    <w:rPr>
                      <w:rFonts w:hint="default" w:eastAsia="宋体"/>
                      <w:szCs w:val="21"/>
                      <w:highlight w:val="none"/>
                      <w:lang w:val="en-US" w:eastAsia="zh-CN"/>
                    </w:rPr>
                  </w:pPr>
                </w:p>
              </w:tc>
              <w:tc>
                <w:tcPr>
                  <w:tcW w:w="1824" w:type="dxa"/>
                </w:tcPr>
                <w:p>
                  <w:pPr>
                    <w:shd w:val="clear"/>
                    <w:rPr>
                      <w:rFonts w:hint="default" w:eastAsia="宋体"/>
                      <w:highlight w:val="none"/>
                      <w:lang w:val="en-US" w:eastAsia="zh-CN"/>
                    </w:rPr>
                  </w:pPr>
                </w:p>
              </w:tc>
              <w:tc>
                <w:tcPr>
                  <w:tcW w:w="2550" w:type="dxa"/>
                </w:tcPr>
                <w:p>
                  <w:pPr>
                    <w:shd w:val="clear"/>
                    <w:rPr>
                      <w:highlight w:val="none"/>
                    </w:rPr>
                  </w:pPr>
                  <w:r>
                    <w:rPr>
                      <w:highlight w:val="none"/>
                    </w:rPr>
                    <w:sym w:font="Wingdings" w:char="00A8"/>
                  </w:r>
                  <w:r>
                    <w:rPr>
                      <w:rFonts w:hint="eastAsia"/>
                      <w:highlight w:val="none"/>
                    </w:rPr>
                    <w:t xml:space="preserve">仓库    </w:t>
                  </w:r>
                  <w:r>
                    <w:rPr>
                      <w:highlight w:val="none"/>
                    </w:rPr>
                    <w:sym w:font="Wingdings" w:char="00A8"/>
                  </w:r>
                  <w:r>
                    <w:rPr>
                      <w:rFonts w:hint="eastAsia"/>
                      <w:highlight w:val="none"/>
                    </w:rPr>
                    <w:t>车间</w:t>
                  </w:r>
                </w:p>
              </w:tc>
            </w:tr>
          </w:tbl>
          <w:p>
            <w:pPr>
              <w:pStyle w:val="2"/>
              <w:shd w:val="clear"/>
              <w:ind w:left="0" w:leftChars="0" w:firstLine="0" w:firstLineChars="0"/>
              <w:rPr>
                <w:rFonts w:hint="eastAsia" w:ascii="方正仿宋简体" w:eastAsia="方正仿宋简体"/>
                <w:b/>
                <w:color w:val="FF0000"/>
                <w:highlight w:val="yellow"/>
              </w:rPr>
            </w:pPr>
          </w:p>
          <w:p>
            <w:pPr>
              <w:shd w:val="clear" w:color="auto"/>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b/>
                <w:bCs/>
              </w:rPr>
            </w:pPr>
            <w:r>
              <w:rPr>
                <w:b/>
                <w:bCs/>
              </w:rPr>
              <w:t>与 PRP、危害控制计划有关的验证</w:t>
            </w:r>
          </w:p>
          <w:p>
            <w:pPr>
              <w:shd w:val="clear" w:color="auto"/>
            </w:pPr>
            <w:r>
              <w:t>组织建立、实施和保持验证活动，规定验证活动的目的、方法、频次和职责。</w:t>
            </w:r>
          </w:p>
          <w:p>
            <w:pPr>
              <w:shd w:val="clear" w:color="auto"/>
            </w:pPr>
            <w:r>
              <w:t>验证活动应证实：</w:t>
            </w:r>
          </w:p>
          <w:p>
            <w:pPr>
              <w:shd w:val="clear" w:color="auto"/>
            </w:pPr>
            <w:r>
              <w:t>a) PRP已实施且有效；</w:t>
            </w:r>
          </w:p>
          <w:p>
            <w:pPr>
              <w:shd w:val="clear" w:color="auto"/>
            </w:pPr>
            <w:r>
              <w:t>b) 危险源控制计划实施有效；</w:t>
            </w:r>
          </w:p>
          <w:p>
            <w:pPr>
              <w:shd w:val="clear" w:color="auto"/>
            </w:pPr>
            <w:r>
              <w:t>c) 危害水平在确定的可接受水平之内；</w:t>
            </w:r>
          </w:p>
          <w:p>
            <w:pPr>
              <w:shd w:val="clear" w:color="auto"/>
            </w:pPr>
            <w:r>
              <w:t>d) 危害分析输入的更新</w:t>
            </w:r>
          </w:p>
          <w:p>
            <w:pPr>
              <w:shd w:val="clear" w:color="auto"/>
            </w:pPr>
            <w:r>
              <w:t>e) 组织确定的其他措施得以实施且有效。</w:t>
            </w:r>
          </w:p>
          <w:p>
            <w:pPr>
              <w:shd w:val="clear" w:color="auto"/>
            </w:pPr>
            <w:r>
              <w:t>食品安全小组对验证结果进行分析，并将其作为食品安全管理体系绩效评估的输入</w:t>
            </w:r>
          </w:p>
          <w:p>
            <w:pPr>
              <w:shd w:val="clear"/>
              <w:adjustRightInd w:val="0"/>
              <w:snapToGrid w:val="0"/>
              <w:spacing w:line="240" w:lineRule="atLeast"/>
              <w:ind w:firstLine="210" w:firstLineChars="100"/>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r>
              <w:rPr>
                <w:rFonts w:hint="eastAsia"/>
                <w:color w:val="0000FF"/>
                <w:szCs w:val="21"/>
                <w:highlight w:val="none"/>
              </w:rPr>
              <w:t>月</w:t>
            </w:r>
            <w:r>
              <w:rPr>
                <w:rFonts w:hint="eastAsia"/>
                <w:color w:val="0000FF"/>
                <w:szCs w:val="21"/>
                <w:highlight w:val="none"/>
                <w:u w:val="single"/>
                <w:lang w:val="en-US" w:eastAsia="zh-CN"/>
              </w:rPr>
              <w:t>2</w:t>
            </w:r>
            <w:r>
              <w:rPr>
                <w:rFonts w:hint="eastAsia"/>
                <w:color w:val="0000FF"/>
                <w:szCs w:val="21"/>
                <w:highlight w:val="none"/>
              </w:rPr>
              <w:t>日，进行验证了PRP。</w:t>
            </w:r>
            <w:r>
              <w:rPr>
                <w:rFonts w:hint="eastAsia" w:ascii="宋体" w:hAnsi="宋体"/>
                <w:b/>
                <w:bCs/>
                <w:szCs w:val="21"/>
                <w:u w:val="single"/>
              </w:rPr>
              <w:t>（时间策划不合理</w:t>
            </w:r>
            <w:r>
              <w:rPr>
                <w:rFonts w:hint="eastAsia" w:ascii="宋体" w:hAnsi="宋体"/>
                <w:b/>
                <w:bCs/>
                <w:szCs w:val="21"/>
                <w:u w:val="single"/>
                <w:lang w:eastAsia="zh-CN"/>
              </w:rPr>
              <w:t>，</w:t>
            </w:r>
            <w:r>
              <w:rPr>
                <w:rFonts w:hint="eastAsia" w:ascii="宋体" w:hAnsi="宋体"/>
                <w:b/>
                <w:bCs/>
                <w:szCs w:val="21"/>
                <w:u w:val="single"/>
                <w:lang w:val="en-US" w:eastAsia="zh-CN"/>
              </w:rPr>
              <w:t>已与企业沟通</w:t>
            </w:r>
            <w:r>
              <w:rPr>
                <w:rFonts w:hint="eastAsia" w:ascii="宋体" w:hAnsi="宋体"/>
                <w:b/>
                <w:bCs/>
                <w:szCs w:val="21"/>
                <w:u w:val="single"/>
              </w:rPr>
              <w:t>）</w:t>
            </w:r>
          </w:p>
          <w:p>
            <w:pPr>
              <w:shd w:val="clear"/>
              <w:adjustRightInd w:val="0"/>
              <w:snapToGrid w:val="0"/>
              <w:spacing w:line="240" w:lineRule="atLeast"/>
              <w:ind w:firstLine="210" w:firstLineChars="100"/>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r>
              <w:rPr>
                <w:rFonts w:hint="eastAsia"/>
                <w:color w:val="0000FF"/>
                <w:szCs w:val="21"/>
                <w:highlight w:val="none"/>
              </w:rPr>
              <w:t>月</w:t>
            </w:r>
            <w:r>
              <w:rPr>
                <w:rFonts w:hint="eastAsia"/>
                <w:color w:val="0000FF"/>
                <w:szCs w:val="21"/>
                <w:highlight w:val="none"/>
                <w:u w:val="single"/>
                <w:lang w:val="en-US" w:eastAsia="zh-CN"/>
              </w:rPr>
              <w:t>2</w:t>
            </w:r>
            <w:r>
              <w:rPr>
                <w:rFonts w:hint="eastAsia"/>
                <w:color w:val="0000FF"/>
                <w:szCs w:val="21"/>
                <w:highlight w:val="none"/>
              </w:rPr>
              <w:t>日，进行验证了危害控制计划。</w:t>
            </w:r>
            <w:r>
              <w:rPr>
                <w:rFonts w:hint="eastAsia" w:ascii="宋体" w:hAnsi="宋体"/>
                <w:b/>
                <w:bCs/>
                <w:szCs w:val="21"/>
                <w:u w:val="single"/>
              </w:rPr>
              <w:t>（时间策划不合理</w:t>
            </w:r>
            <w:r>
              <w:rPr>
                <w:rFonts w:hint="eastAsia" w:ascii="宋体" w:hAnsi="宋体"/>
                <w:b/>
                <w:bCs/>
                <w:szCs w:val="21"/>
                <w:u w:val="single"/>
                <w:lang w:eastAsia="zh-CN"/>
              </w:rPr>
              <w:t>，</w:t>
            </w:r>
            <w:r>
              <w:rPr>
                <w:rFonts w:hint="eastAsia" w:ascii="宋体" w:hAnsi="宋体"/>
                <w:b/>
                <w:bCs/>
                <w:szCs w:val="21"/>
                <w:u w:val="single"/>
                <w:lang w:val="en-US" w:eastAsia="zh-CN"/>
              </w:rPr>
              <w:t>已与企业沟通</w:t>
            </w:r>
            <w:r>
              <w:rPr>
                <w:rFonts w:hint="eastAsia" w:ascii="宋体" w:hAnsi="宋体"/>
                <w:b/>
                <w:bCs/>
                <w:szCs w:val="21"/>
                <w:u w:val="single"/>
              </w:rPr>
              <w:t>）</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color w:val="0000FF"/>
                <w:u w:val="single"/>
                <w:lang w:eastAsia="zh-CN"/>
              </w:rPr>
              <w:t>——</w:t>
            </w:r>
            <w:r>
              <w:rPr>
                <w:rFonts w:hint="eastAsia"/>
                <w:color w:val="0000FF"/>
                <w:u w:val="single"/>
                <w:lang w:val="en-US" w:eastAsia="zh-CN"/>
              </w:rPr>
              <w:t>审核周期内未发生不合格品情况</w:t>
            </w:r>
            <w:r>
              <w:rPr>
                <w:rFonts w:hint="eastAsia"/>
                <w:color w:val="0000FF"/>
                <w:u w:val="single"/>
              </w:rPr>
              <w:t xml:space="preserve">  </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pPr>
            <w:r>
              <w:rPr>
                <w:rFonts w:hint="eastAsia"/>
              </w:rPr>
              <w:t>产品撤回/召回</w:t>
            </w:r>
          </w:p>
          <w:p>
            <w:pPr>
              <w:shd w:val="clea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6"/>
              </w:numPr>
              <w:shd w:val="clear"/>
              <w:spacing w:before="40" w:after="40"/>
              <w:rPr>
                <w:szCs w:val="21"/>
              </w:rPr>
            </w:pPr>
            <w:r>
              <w:rPr>
                <w:rFonts w:hint="eastAsia"/>
                <w:szCs w:val="21"/>
              </w:rPr>
              <w:t>启动和实施产品召回计划人员的职责和权限</w:t>
            </w:r>
          </w:p>
          <w:p>
            <w:pPr>
              <w:widowControl/>
              <w:numPr>
                <w:ilvl w:val="0"/>
                <w:numId w:val="6"/>
              </w:numPr>
              <w:shd w:val="clear"/>
              <w:spacing w:before="40" w:after="40"/>
              <w:rPr>
                <w:szCs w:val="21"/>
              </w:rPr>
            </w:pPr>
            <w:r>
              <w:rPr>
                <w:rFonts w:hint="eastAsia"/>
                <w:szCs w:val="21"/>
              </w:rPr>
              <w:t>产品召回行动需符合的相关法律、法规和其他相关要求</w:t>
            </w:r>
          </w:p>
          <w:p>
            <w:pPr>
              <w:widowControl/>
              <w:numPr>
                <w:ilvl w:val="0"/>
                <w:numId w:val="6"/>
              </w:numPr>
              <w:shd w:val="clear"/>
              <w:spacing w:before="40" w:after="40"/>
              <w:rPr>
                <w:szCs w:val="21"/>
              </w:rPr>
            </w:pPr>
            <w:r>
              <w:rPr>
                <w:rFonts w:hint="eastAsia"/>
                <w:szCs w:val="21"/>
              </w:rPr>
              <w:t>制定并实施受安全危害影响产品的召回措施</w:t>
            </w:r>
          </w:p>
          <w:p>
            <w:pPr>
              <w:widowControl/>
              <w:numPr>
                <w:ilvl w:val="0"/>
                <w:numId w:val="6"/>
              </w:numPr>
              <w:shd w:val="clear"/>
              <w:spacing w:before="40" w:after="40"/>
              <w:rPr>
                <w:szCs w:val="21"/>
              </w:rPr>
            </w:pPr>
            <w:r>
              <w:rPr>
                <w:rFonts w:hint="eastAsia"/>
                <w:szCs w:val="21"/>
              </w:rPr>
              <w:t>制定对召回的产品进行分析和处置的措施；</w:t>
            </w:r>
          </w:p>
          <w:p>
            <w:pPr>
              <w:shd w:val="clear"/>
              <w:rPr>
                <w:szCs w:val="21"/>
              </w:rPr>
            </w:pPr>
            <w:r>
              <w:rPr>
                <w:rFonts w:hint="eastAsia"/>
                <w:szCs w:val="21"/>
              </w:rPr>
              <w:t>实际发生的产品召回记录。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shd w:val="clea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highlight w:val="yellow"/>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pPr>
            <w:r>
              <w:rPr>
                <w:rFonts w:hint="eastAsia"/>
                <w:szCs w:val="21"/>
                <w:highlight w:val="none"/>
                <w:u w:val="single"/>
              </w:rPr>
              <w:t xml:space="preserve">    </w:t>
            </w:r>
            <w:r>
              <w:rPr>
                <w:rFonts w:hint="eastAsia"/>
                <w:szCs w:val="21"/>
                <w:highlight w:val="none"/>
                <w:u w:val="single"/>
                <w:lang w:val="en-US" w:eastAsia="zh-CN"/>
              </w:rPr>
              <w:t>2022</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5</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25 </w:t>
            </w:r>
            <w:r>
              <w:rPr>
                <w:rFonts w:hint="eastAsia"/>
                <w:szCs w:val="21"/>
                <w:highlight w:val="none"/>
              </w:rPr>
              <w:t>日进行了召回演练，产品</w:t>
            </w:r>
            <w:r>
              <w:rPr>
                <w:rFonts w:hint="eastAsia"/>
                <w:szCs w:val="21"/>
                <w:highlight w:val="none"/>
                <w:u w:val="single"/>
              </w:rPr>
              <w:t xml:space="preserve"> 配送给福建海峡军民融合产业发展有限公司厦门分公司的鲜活螃重金属超标（模拟） </w:t>
            </w:r>
            <w:r>
              <w:rPr>
                <w:rFonts w:hint="eastAsia"/>
                <w:szCs w:val="21"/>
                <w:highlight w:val="none"/>
              </w:rPr>
              <w:t>，批号</w:t>
            </w:r>
            <w:r>
              <w:rPr>
                <w:rFonts w:hint="eastAsia"/>
                <w:szCs w:val="21"/>
                <w:highlight w:val="none"/>
                <w:u w:val="single"/>
              </w:rPr>
              <w:t xml:space="preserve"> 2022</w:t>
            </w:r>
            <w:r>
              <w:rPr>
                <w:rFonts w:hint="eastAsia"/>
                <w:szCs w:val="21"/>
                <w:highlight w:val="none"/>
                <w:u w:val="single"/>
                <w:lang w:val="en-US" w:eastAsia="zh-CN"/>
              </w:rPr>
              <w:t xml:space="preserve">0525 </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FE"/>
            </w:r>
            <w:r>
              <w:rPr>
                <w:rFonts w:hint="eastAsia"/>
                <w:szCs w:val="21"/>
                <w:highlight w:val="none"/>
                <w:u w:val="single"/>
              </w:rPr>
              <w:t xml:space="preserve">良好/  </w:t>
            </w:r>
            <w:r>
              <w:rPr>
                <w:rFonts w:hint="eastAsia"/>
                <w:highlight w:val="none"/>
              </w:rPr>
              <w:sym w:font="Wingdings" w:char="00A8"/>
            </w:r>
            <w:r>
              <w:rPr>
                <w:rFonts w:hint="eastAsia"/>
                <w:szCs w:val="21"/>
                <w:highlight w:val="none"/>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680" w:type="dxa"/>
            <w:vMerge w:val="restart"/>
            <w:shd w:val="clear" w:color="auto" w:fill="EBF1DE" w:themeFill="accent3" w:themeFillTint="32"/>
          </w:tcPr>
          <w:p>
            <w:pPr>
              <w:shd w:val="clear" w:color="auto"/>
            </w:pPr>
            <w:r>
              <w:rPr>
                <w:rFonts w:hint="eastAsia"/>
              </w:rPr>
              <w:t>绩效评价</w:t>
            </w:r>
          </w:p>
        </w:tc>
        <w:tc>
          <w:tcPr>
            <w:tcW w:w="9282" w:type="dxa"/>
            <w:shd w:val="clear" w:color="auto" w:fill="EBF1DE" w:themeFill="accent3" w:themeFillTint="32"/>
          </w:tcPr>
          <w:p>
            <w:pPr>
              <w:shd w:val="clear" w:color="auto"/>
            </w:pPr>
            <w:r>
              <w:rPr>
                <w:rFonts w:hint="eastAsia"/>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7"/>
              </w:numPr>
              <w:shd w:val="clear" w:color="auto"/>
            </w:pPr>
            <w:r>
              <w:rPr>
                <w:rFonts w:hint="eastAsia"/>
              </w:rPr>
              <w:t>PRP和危害控制计划</w:t>
            </w:r>
          </w:p>
          <w:p>
            <w:pPr>
              <w:numPr>
                <w:ilvl w:val="0"/>
                <w:numId w:val="7"/>
              </w:numPr>
              <w:shd w:val="clear" w:color="auto"/>
            </w:pPr>
            <w:r>
              <w:rPr>
                <w:rFonts w:hint="eastAsia"/>
              </w:rPr>
              <w:t>内部审核的结果</w:t>
            </w:r>
          </w:p>
          <w:p>
            <w:pPr>
              <w:numPr>
                <w:ilvl w:val="0"/>
                <w:numId w:val="7"/>
              </w:numPr>
              <w:shd w:val="clear" w:color="auto"/>
            </w:pP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pPr>
            <w:r>
              <w:rPr>
                <w:rFonts w:hint="eastAsia"/>
              </w:rPr>
              <w:t>b） 确定更新或改进FSMS的必要性；</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rPr>
                <w:rFonts w:hint="default" w:eastAsia="宋体"/>
                <w:lang w:val="en-US" w:eastAsia="zh-CN"/>
              </w:rPr>
            </w:pPr>
            <w:r>
              <w:rPr>
                <w:rFonts w:hint="eastAsia"/>
              </w:rPr>
              <w:t>e） 提供纠正和纠正措施有效的证据。</w:t>
            </w:r>
            <w:r>
              <w:rPr>
                <w:rFonts w:hint="eastAsia"/>
                <w:color w:val="0000FF"/>
                <w:lang w:eastAsia="zh-CN"/>
              </w:rPr>
              <w:t>——</w:t>
            </w:r>
            <w:r>
              <w:rPr>
                <w:rFonts w:hint="eastAsia"/>
                <w:color w:val="0000FF"/>
                <w:lang w:val="en-US" w:eastAsia="zh-CN"/>
              </w:rPr>
              <w:t>见验证结果分析报告、内审报告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25</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p>
          <w:p>
            <w:pPr>
              <w:shd w:val="clear" w:color="auto"/>
            </w:pPr>
            <w:r>
              <w:rPr>
                <w:rFonts w:hint="eastAsia"/>
              </w:rPr>
              <w:sym w:font="Wingdings" w:char="00A8"/>
            </w:r>
            <w:r>
              <w:rPr>
                <w:rFonts w:hint="eastAsia"/>
              </w:rPr>
              <w:t>对所有班次的现场操作已审核。</w:t>
            </w:r>
          </w:p>
          <w:p>
            <w:pPr>
              <w:shd w:val="clear" w:color="auto"/>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 xml:space="preserve">10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restart"/>
            <w:shd w:val="clear" w:color="auto" w:fill="EBF1DE" w:themeFill="accent3" w:themeFillTint="32"/>
          </w:tcPr>
          <w:p>
            <w:pPr>
              <w:shd w:val="clear" w:color="auto"/>
            </w:pPr>
            <w:r>
              <w:rPr>
                <w:rFonts w:hint="eastAsia"/>
              </w:rPr>
              <w:t>改进</w:t>
            </w:r>
          </w:p>
        </w:tc>
        <w:tc>
          <w:tcPr>
            <w:tcW w:w="9282" w:type="dxa"/>
            <w:shd w:val="clear" w:color="auto" w:fill="EBF1DE" w:themeFill="accent3" w:themeFillTint="32"/>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rPr>
              <w:t xml:space="preserve">☑不合格产品/服务 ☑自我验证的结果 </w:t>
            </w:r>
            <w:r>
              <w:rPr>
                <w:rFonts w:hint="eastAsia"/>
                <w:lang w:eastAsia="zh-CN"/>
              </w:rPr>
              <w:t>□</w:t>
            </w:r>
            <w:r>
              <w:rPr>
                <w:rFonts w:hint="eastAsia"/>
              </w:rPr>
              <w:t xml:space="preserve">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pPr>
            <w:r>
              <w:rPr>
                <w:rFonts w:hint="eastAsia"/>
              </w:rPr>
              <w:t xml:space="preserve">☑内审不符合项   </w:t>
            </w:r>
            <w:r>
              <w:rPr>
                <w:rFonts w:hint="eastAsia"/>
              </w:rPr>
              <w:sym w:font="Wingdings" w:char="00FE"/>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rFonts w:hint="eastAsia"/>
              </w:rPr>
              <w:t>组织持续改进FSMS的适宜性、充分性和有效性。</w:t>
            </w:r>
          </w:p>
          <w:p>
            <w:pPr>
              <w:shd w:val="clear" w:color="auto"/>
            </w:pPr>
            <w:r>
              <w:rPr>
                <w:rFonts w:hint="eastAsia"/>
              </w:rPr>
              <w:t>最高管理者应确保组织通过以下活动，持续改进食品安全管理体系的有效性：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282" w:type="dxa"/>
            <w:shd w:val="clear" w:color="auto" w:fill="EBF1DE" w:themeFill="accent3" w:themeFillTint="32"/>
          </w:tcPr>
          <w:p>
            <w:pPr>
              <w:shd w:val="clear" w:color="auto"/>
            </w:pPr>
            <w:r>
              <w:rPr>
                <w:rFonts w:hint="eastAsia"/>
              </w:rPr>
              <w:t>最高管理者建立了确保FSMS持续更新的机制。为此，食品安全小组应按计划间隔对食品安全管理体系进行了评估。</w:t>
            </w:r>
          </w:p>
          <w:p>
            <w:pPr>
              <w:shd w:val="clear" w:color="auto"/>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审核周期内未发生更新</w:t>
            </w:r>
          </w:p>
        </w:tc>
      </w:tr>
      <w:bookmarkEnd w:id="41"/>
    </w:tbl>
    <w:p>
      <w:pPr>
        <w:shd w:val="clear" w:color="auto"/>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5" w:hRule="atLeast"/>
        </w:trPr>
        <w:tc>
          <w:tcPr>
            <w:tcW w:w="1337" w:type="dxa"/>
            <w:shd w:val="clear" w:color="auto" w:fill="FFFFFF" w:themeFill="background1"/>
            <w:vAlign w:val="center"/>
          </w:tcPr>
          <w:p>
            <w:pPr>
              <w:shd w:val="clear" w:color="auto"/>
              <w:rPr>
                <w:lang w:eastAsia="ja-JP"/>
              </w:rPr>
            </w:pPr>
            <w:r>
              <w:rPr>
                <w:rFonts w:hint="eastAsia"/>
                <w:lang w:val="en-GB"/>
              </w:rPr>
              <w:t>标准条款</w:t>
            </w:r>
          </w:p>
        </w:tc>
        <w:tc>
          <w:tcPr>
            <w:tcW w:w="608" w:type="dxa"/>
            <w:shd w:val="clear" w:color="auto" w:fill="FFFFFF" w:themeFill="background1"/>
            <w:vAlign w:val="center"/>
          </w:tcPr>
          <w:p>
            <w:pPr>
              <w:shd w:val="clear" w:color="auto"/>
              <w:rPr>
                <w:lang w:eastAsia="ja-JP"/>
              </w:rPr>
            </w:pPr>
            <w:r>
              <w:rPr>
                <w:rFonts w:hint="eastAsia"/>
              </w:rPr>
              <w:t>4.1</w:t>
            </w:r>
          </w:p>
        </w:tc>
        <w:tc>
          <w:tcPr>
            <w:tcW w:w="630" w:type="dxa"/>
            <w:shd w:val="clear" w:color="auto" w:fill="FFFFFF" w:themeFill="background1"/>
            <w:vAlign w:val="center"/>
          </w:tcPr>
          <w:p>
            <w:pPr>
              <w:shd w:val="clear" w:color="auto"/>
              <w:rPr>
                <w:lang w:eastAsia="ja-JP"/>
              </w:rPr>
            </w:pPr>
            <w:r>
              <w:rPr>
                <w:rFonts w:hint="eastAsia"/>
              </w:rPr>
              <w:t>4.2</w:t>
            </w:r>
          </w:p>
        </w:tc>
        <w:tc>
          <w:tcPr>
            <w:tcW w:w="615" w:type="dxa"/>
            <w:shd w:val="clear" w:color="auto" w:fill="FFFFFF" w:themeFill="background1"/>
            <w:vAlign w:val="center"/>
          </w:tcPr>
          <w:p>
            <w:pPr>
              <w:shd w:val="clear" w:color="auto"/>
              <w:rPr>
                <w:lang w:eastAsia="ja-JP"/>
              </w:rPr>
            </w:pPr>
            <w:r>
              <w:rPr>
                <w:rFonts w:hint="eastAsia"/>
              </w:rPr>
              <w:t>4.3</w:t>
            </w:r>
          </w:p>
        </w:tc>
        <w:tc>
          <w:tcPr>
            <w:tcW w:w="645" w:type="dxa"/>
            <w:shd w:val="clear" w:color="auto" w:fill="FFFFFF" w:themeFill="background1"/>
            <w:vAlign w:val="center"/>
          </w:tcPr>
          <w:p>
            <w:pPr>
              <w:shd w:val="clear" w:color="auto"/>
              <w:rPr>
                <w:lang w:eastAsia="ja-JP"/>
              </w:rPr>
            </w:pPr>
            <w:r>
              <w:rPr>
                <w:rFonts w:hint="eastAsia"/>
              </w:rPr>
              <w:t>4.4</w:t>
            </w:r>
          </w:p>
        </w:tc>
        <w:tc>
          <w:tcPr>
            <w:tcW w:w="637" w:type="dxa"/>
            <w:shd w:val="clear" w:color="auto" w:fill="FFFFFF" w:themeFill="background1"/>
            <w:vAlign w:val="center"/>
          </w:tcPr>
          <w:p>
            <w:pPr>
              <w:shd w:val="clear" w:color="auto"/>
              <w:rPr>
                <w:lang w:eastAsia="ja-JP"/>
              </w:rPr>
            </w:pPr>
            <w:r>
              <w:rPr>
                <w:rFonts w:hint="eastAsia"/>
              </w:rPr>
              <w:t>5.1</w:t>
            </w:r>
          </w:p>
        </w:tc>
        <w:tc>
          <w:tcPr>
            <w:tcW w:w="623" w:type="dxa"/>
            <w:shd w:val="clear" w:color="auto" w:fill="FFFFFF" w:themeFill="background1"/>
            <w:vAlign w:val="center"/>
          </w:tcPr>
          <w:p>
            <w:pPr>
              <w:shd w:val="clear" w:color="auto"/>
              <w:rPr>
                <w:lang w:eastAsia="ja-JP"/>
              </w:rPr>
            </w:pPr>
            <w:r>
              <w:rPr>
                <w:rFonts w:hint="eastAsia"/>
              </w:rPr>
              <w:t>5.2</w:t>
            </w:r>
          </w:p>
        </w:tc>
        <w:tc>
          <w:tcPr>
            <w:tcW w:w="637" w:type="dxa"/>
            <w:shd w:val="clear" w:color="auto" w:fill="FFFFFF" w:themeFill="background1"/>
            <w:vAlign w:val="center"/>
          </w:tcPr>
          <w:p>
            <w:pPr>
              <w:shd w:val="clear" w:color="auto"/>
              <w:rPr>
                <w:lang w:eastAsia="ja-JP"/>
              </w:rPr>
            </w:pPr>
            <w:r>
              <w:rPr>
                <w:rFonts w:hint="eastAsia"/>
              </w:rPr>
              <w:t>5.3</w:t>
            </w:r>
          </w:p>
        </w:tc>
        <w:tc>
          <w:tcPr>
            <w:tcW w:w="688" w:type="dxa"/>
            <w:shd w:val="clear" w:color="auto" w:fill="FFFFFF" w:themeFill="background1"/>
            <w:vAlign w:val="center"/>
          </w:tcPr>
          <w:p>
            <w:pPr>
              <w:shd w:val="clear" w:color="auto"/>
              <w:rPr>
                <w:lang w:eastAsia="ja-JP"/>
              </w:rPr>
            </w:pPr>
            <w:r>
              <w:rPr>
                <w:rFonts w:hint="eastAsia"/>
              </w:rPr>
              <w:t>6.1</w:t>
            </w:r>
          </w:p>
        </w:tc>
        <w:tc>
          <w:tcPr>
            <w:tcW w:w="600" w:type="dxa"/>
            <w:shd w:val="clear" w:color="auto" w:fill="FFFFFF" w:themeFill="background1"/>
            <w:vAlign w:val="center"/>
          </w:tcPr>
          <w:p>
            <w:pPr>
              <w:shd w:val="clear" w:color="auto"/>
            </w:pPr>
            <w:r>
              <w:rPr>
                <w:rFonts w:hint="eastAsia"/>
              </w:rPr>
              <w:t>6.2</w:t>
            </w:r>
          </w:p>
        </w:tc>
        <w:tc>
          <w:tcPr>
            <w:tcW w:w="587" w:type="dxa"/>
            <w:shd w:val="clear" w:color="auto" w:fill="FFFFFF" w:themeFill="background1"/>
            <w:vAlign w:val="center"/>
          </w:tcPr>
          <w:p>
            <w:pPr>
              <w:shd w:val="clear" w:color="auto"/>
            </w:pPr>
            <w:r>
              <w:rPr>
                <w:rFonts w:hint="eastAsia"/>
              </w:rPr>
              <w:t>6.3</w:t>
            </w:r>
          </w:p>
        </w:tc>
        <w:tc>
          <w:tcPr>
            <w:tcW w:w="650" w:type="dxa"/>
            <w:shd w:val="clear" w:color="auto" w:fill="FFFFFF" w:themeFill="background1"/>
            <w:vAlign w:val="center"/>
          </w:tcPr>
          <w:p>
            <w:pPr>
              <w:shd w:val="clear" w:color="auto"/>
              <w:rPr>
                <w:lang w:eastAsia="ja-JP"/>
              </w:rPr>
            </w:pPr>
          </w:p>
        </w:tc>
        <w:tc>
          <w:tcPr>
            <w:tcW w:w="649"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5" w:hRule="atLeast"/>
        </w:trPr>
        <w:tc>
          <w:tcPr>
            <w:tcW w:w="1337" w:type="dxa"/>
            <w:shd w:val="clear" w:color="auto" w:fill="FFFFFF" w:themeFill="background1"/>
            <w:vAlign w:val="center"/>
          </w:tcPr>
          <w:p>
            <w:pPr>
              <w:shd w:val="clear" w:color="auto"/>
              <w:rPr>
                <w:lang w:eastAsia="ja-JP"/>
              </w:rPr>
            </w:pPr>
            <w:r>
              <w:rPr>
                <w:rFonts w:hint="eastAsia"/>
                <w:lang w:val="en-GB"/>
              </w:rPr>
              <w:t>评价*)</w:t>
            </w:r>
          </w:p>
        </w:tc>
        <w:tc>
          <w:tcPr>
            <w:tcW w:w="608" w:type="dxa"/>
            <w:shd w:val="clear" w:color="auto" w:fill="FFFFFF" w:themeFill="background1"/>
            <w:vAlign w:val="center"/>
          </w:tcPr>
          <w:p>
            <w:pPr>
              <w:shd w:val="clear" w:color="auto"/>
              <w:rPr>
                <w:rFonts w:hint="eastAsia" w:eastAsia="宋体"/>
                <w:lang w:val="en-US" w:eastAsia="zh-CN"/>
              </w:rPr>
            </w:pPr>
            <w:r>
              <w:rPr>
                <w:rFonts w:hint="eastAsia"/>
                <w:lang w:val="en-US" w:eastAsia="zh-CN"/>
              </w:rPr>
              <w:t>1</w:t>
            </w:r>
          </w:p>
        </w:tc>
        <w:tc>
          <w:tcPr>
            <w:tcW w:w="630" w:type="dxa"/>
            <w:shd w:val="clear" w:color="auto" w:fill="FFFFFF" w:themeFill="background1"/>
            <w:vAlign w:val="center"/>
          </w:tcPr>
          <w:p>
            <w:pPr>
              <w:shd w:val="clear" w:color="auto"/>
              <w:rPr>
                <w:lang w:eastAsia="ja-JP"/>
              </w:rPr>
            </w:pPr>
            <w:r>
              <w:rPr>
                <w:rFonts w:hint="eastAsia"/>
                <w:lang w:val="en-US" w:eastAsia="zh-CN"/>
              </w:rPr>
              <w:t>1</w:t>
            </w:r>
          </w:p>
        </w:tc>
        <w:tc>
          <w:tcPr>
            <w:tcW w:w="615" w:type="dxa"/>
            <w:shd w:val="clear" w:color="auto" w:fill="FFFFFF" w:themeFill="background1"/>
            <w:vAlign w:val="center"/>
          </w:tcPr>
          <w:p>
            <w:pPr>
              <w:shd w:val="clear" w:color="auto"/>
              <w:rPr>
                <w:lang w:eastAsia="ja-JP"/>
              </w:rPr>
            </w:pPr>
            <w:r>
              <w:rPr>
                <w:rFonts w:hint="eastAsia"/>
                <w:lang w:val="en-US" w:eastAsia="zh-CN"/>
              </w:rPr>
              <w:t>1</w:t>
            </w:r>
          </w:p>
        </w:tc>
        <w:tc>
          <w:tcPr>
            <w:tcW w:w="645" w:type="dxa"/>
            <w:shd w:val="clear" w:color="auto" w:fill="FFFFFF" w:themeFill="background1"/>
            <w:vAlign w:val="center"/>
          </w:tcPr>
          <w:p>
            <w:pPr>
              <w:shd w:val="clear" w:color="auto"/>
              <w:rPr>
                <w:lang w:eastAsia="ja-JP"/>
              </w:rPr>
            </w:pPr>
            <w:r>
              <w:rPr>
                <w:rFonts w:hint="eastAsia"/>
                <w:lang w:val="en-US" w:eastAsia="zh-CN"/>
              </w:rPr>
              <w:t>1</w:t>
            </w:r>
          </w:p>
        </w:tc>
        <w:tc>
          <w:tcPr>
            <w:tcW w:w="637" w:type="dxa"/>
            <w:shd w:val="clear" w:color="auto" w:fill="FFFFFF" w:themeFill="background1"/>
            <w:vAlign w:val="center"/>
          </w:tcPr>
          <w:p>
            <w:pPr>
              <w:shd w:val="clear" w:color="auto"/>
              <w:rPr>
                <w:lang w:eastAsia="ja-JP"/>
              </w:rPr>
            </w:pPr>
            <w:r>
              <w:rPr>
                <w:rFonts w:hint="eastAsia"/>
                <w:lang w:val="en-US" w:eastAsia="zh-CN"/>
              </w:rPr>
              <w:t>1</w:t>
            </w:r>
          </w:p>
        </w:tc>
        <w:tc>
          <w:tcPr>
            <w:tcW w:w="623" w:type="dxa"/>
            <w:shd w:val="clear" w:color="auto" w:fill="FFFFFF" w:themeFill="background1"/>
            <w:vAlign w:val="center"/>
          </w:tcPr>
          <w:p>
            <w:pPr>
              <w:shd w:val="clear" w:color="auto"/>
              <w:rPr>
                <w:lang w:eastAsia="ja-JP"/>
              </w:rPr>
            </w:pPr>
            <w:r>
              <w:rPr>
                <w:rFonts w:hint="eastAsia"/>
                <w:lang w:val="en-US" w:eastAsia="zh-CN"/>
              </w:rPr>
              <w:t>1</w:t>
            </w:r>
          </w:p>
        </w:tc>
        <w:tc>
          <w:tcPr>
            <w:tcW w:w="637" w:type="dxa"/>
            <w:shd w:val="clear" w:color="auto" w:fill="FFFFFF" w:themeFill="background1"/>
            <w:vAlign w:val="center"/>
          </w:tcPr>
          <w:p>
            <w:pPr>
              <w:shd w:val="clear" w:color="auto"/>
              <w:rPr>
                <w:lang w:eastAsia="ja-JP"/>
              </w:rPr>
            </w:pPr>
            <w:r>
              <w:rPr>
                <w:rFonts w:hint="eastAsia"/>
                <w:lang w:val="en-US" w:eastAsia="zh-CN"/>
              </w:rPr>
              <w:t>1</w:t>
            </w:r>
          </w:p>
        </w:tc>
        <w:tc>
          <w:tcPr>
            <w:tcW w:w="688" w:type="dxa"/>
            <w:shd w:val="clear" w:color="auto" w:fill="FFFFFF" w:themeFill="background1"/>
            <w:vAlign w:val="center"/>
          </w:tcPr>
          <w:p>
            <w:pPr>
              <w:shd w:val="clear" w:color="auto"/>
              <w:rPr>
                <w:lang w:eastAsia="ja-JP"/>
              </w:rPr>
            </w:pPr>
            <w:r>
              <w:rPr>
                <w:rFonts w:hint="eastAsia"/>
                <w:lang w:val="en-US" w:eastAsia="zh-CN"/>
              </w:rPr>
              <w:t>1</w:t>
            </w:r>
          </w:p>
        </w:tc>
        <w:tc>
          <w:tcPr>
            <w:tcW w:w="600" w:type="dxa"/>
            <w:shd w:val="clear" w:color="auto" w:fill="FFFFFF" w:themeFill="background1"/>
            <w:vAlign w:val="center"/>
          </w:tcPr>
          <w:p>
            <w:pPr>
              <w:shd w:val="clear" w:color="auto"/>
              <w:rPr>
                <w:lang w:eastAsia="ja-JP"/>
              </w:rPr>
            </w:pPr>
            <w:r>
              <w:rPr>
                <w:rFonts w:hint="eastAsia"/>
                <w:lang w:val="en-US" w:eastAsia="zh-CN"/>
              </w:rPr>
              <w:t>1</w:t>
            </w:r>
          </w:p>
        </w:tc>
        <w:tc>
          <w:tcPr>
            <w:tcW w:w="587" w:type="dxa"/>
            <w:shd w:val="clear" w:color="auto" w:fill="FFFFFF" w:themeFill="background1"/>
            <w:vAlign w:val="center"/>
          </w:tcPr>
          <w:p>
            <w:pPr>
              <w:shd w:val="clear" w:color="auto"/>
              <w:rPr>
                <w:lang w:eastAsia="ja-JP"/>
              </w:rPr>
            </w:pPr>
            <w:r>
              <w:rPr>
                <w:rFonts w:hint="eastAsia"/>
                <w:lang w:val="en-US" w:eastAsia="zh-CN"/>
              </w:rPr>
              <w:t>1</w:t>
            </w:r>
          </w:p>
        </w:tc>
        <w:tc>
          <w:tcPr>
            <w:tcW w:w="650" w:type="dxa"/>
            <w:shd w:val="clear" w:color="auto" w:fill="FFFFFF" w:themeFill="background1"/>
            <w:vAlign w:val="center"/>
          </w:tcPr>
          <w:p>
            <w:pPr>
              <w:shd w:val="clear" w:color="auto"/>
              <w:rPr>
                <w:lang w:eastAsia="ja-JP"/>
              </w:rPr>
            </w:pPr>
          </w:p>
        </w:tc>
        <w:tc>
          <w:tcPr>
            <w:tcW w:w="649"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5" w:hRule="atLeast"/>
        </w:trPr>
        <w:tc>
          <w:tcPr>
            <w:tcW w:w="1337" w:type="dxa"/>
            <w:shd w:val="clear" w:color="auto" w:fill="FFFFFF" w:themeFill="background1"/>
            <w:vAlign w:val="center"/>
          </w:tcPr>
          <w:p>
            <w:pPr>
              <w:shd w:val="clear" w:color="auto"/>
            </w:pPr>
            <w:r>
              <w:rPr>
                <w:rFonts w:hint="eastAsia"/>
              </w:rPr>
              <w:t>不符合数量</w:t>
            </w:r>
          </w:p>
        </w:tc>
        <w:tc>
          <w:tcPr>
            <w:tcW w:w="608" w:type="dxa"/>
            <w:shd w:val="clear" w:color="auto" w:fill="FFFFFF" w:themeFill="background1"/>
            <w:vAlign w:val="center"/>
          </w:tcPr>
          <w:p>
            <w:pPr>
              <w:shd w:val="clear" w:color="auto"/>
              <w:rPr>
                <w:lang w:eastAsia="ja-JP"/>
              </w:rPr>
            </w:pPr>
          </w:p>
        </w:tc>
        <w:tc>
          <w:tcPr>
            <w:tcW w:w="630" w:type="dxa"/>
            <w:shd w:val="clear" w:color="auto" w:fill="FFFFFF" w:themeFill="background1"/>
            <w:vAlign w:val="center"/>
          </w:tcPr>
          <w:p>
            <w:pPr>
              <w:shd w:val="clear" w:color="auto"/>
              <w:rPr>
                <w:lang w:eastAsia="ja-JP"/>
              </w:rPr>
            </w:pPr>
          </w:p>
        </w:tc>
        <w:tc>
          <w:tcPr>
            <w:tcW w:w="615" w:type="dxa"/>
            <w:shd w:val="clear" w:color="auto" w:fill="FFFFFF" w:themeFill="background1"/>
            <w:vAlign w:val="center"/>
          </w:tcPr>
          <w:p>
            <w:pPr>
              <w:shd w:val="clear" w:color="auto"/>
              <w:rPr>
                <w:lang w:eastAsia="ja-JP"/>
              </w:rPr>
            </w:pPr>
          </w:p>
        </w:tc>
        <w:tc>
          <w:tcPr>
            <w:tcW w:w="645" w:type="dxa"/>
            <w:shd w:val="clear" w:color="auto" w:fill="FFFFFF" w:themeFill="background1"/>
            <w:vAlign w:val="center"/>
          </w:tcPr>
          <w:p>
            <w:pPr>
              <w:shd w:val="clear" w:color="auto"/>
              <w:rPr>
                <w:lang w:eastAsia="ja-JP"/>
              </w:rPr>
            </w:pPr>
          </w:p>
        </w:tc>
        <w:tc>
          <w:tcPr>
            <w:tcW w:w="637" w:type="dxa"/>
            <w:shd w:val="clear" w:color="auto" w:fill="FFFFFF" w:themeFill="background1"/>
            <w:vAlign w:val="center"/>
          </w:tcPr>
          <w:p>
            <w:pPr>
              <w:shd w:val="clear" w:color="auto"/>
              <w:rPr>
                <w:lang w:eastAsia="ja-JP"/>
              </w:rPr>
            </w:pPr>
          </w:p>
        </w:tc>
        <w:tc>
          <w:tcPr>
            <w:tcW w:w="623" w:type="dxa"/>
            <w:shd w:val="clear" w:color="auto" w:fill="FFFFFF" w:themeFill="background1"/>
            <w:vAlign w:val="center"/>
          </w:tcPr>
          <w:p>
            <w:pPr>
              <w:shd w:val="clear" w:color="auto"/>
              <w:rPr>
                <w:lang w:eastAsia="ja-JP"/>
              </w:rPr>
            </w:pPr>
          </w:p>
        </w:tc>
        <w:tc>
          <w:tcPr>
            <w:tcW w:w="637" w:type="dxa"/>
            <w:shd w:val="clear" w:color="auto" w:fill="FFFFFF" w:themeFill="background1"/>
            <w:vAlign w:val="center"/>
          </w:tcPr>
          <w:p>
            <w:pPr>
              <w:shd w:val="clear" w:color="auto"/>
              <w:rPr>
                <w:lang w:eastAsia="ja-JP"/>
              </w:rPr>
            </w:pPr>
          </w:p>
        </w:tc>
        <w:tc>
          <w:tcPr>
            <w:tcW w:w="688" w:type="dxa"/>
            <w:shd w:val="clear" w:color="auto" w:fill="FFFFFF" w:themeFill="background1"/>
            <w:vAlign w:val="center"/>
          </w:tcPr>
          <w:p>
            <w:pPr>
              <w:shd w:val="clear" w:color="auto"/>
              <w:rPr>
                <w:lang w:eastAsia="ja-JP"/>
              </w:rPr>
            </w:pPr>
          </w:p>
        </w:tc>
        <w:tc>
          <w:tcPr>
            <w:tcW w:w="600" w:type="dxa"/>
            <w:shd w:val="clear" w:color="auto" w:fill="FFFFFF" w:themeFill="background1"/>
            <w:vAlign w:val="center"/>
          </w:tcPr>
          <w:p>
            <w:pPr>
              <w:shd w:val="clear" w:color="auto"/>
              <w:rPr>
                <w:lang w:eastAsia="ja-JP"/>
              </w:rPr>
            </w:pPr>
          </w:p>
        </w:tc>
        <w:tc>
          <w:tcPr>
            <w:tcW w:w="587"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c>
          <w:tcPr>
            <w:tcW w:w="649"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5" w:hRule="atLeast"/>
        </w:trPr>
        <w:tc>
          <w:tcPr>
            <w:tcW w:w="1337" w:type="dxa"/>
            <w:shd w:val="clear" w:color="auto" w:fill="FFFFFF" w:themeFill="background1"/>
            <w:vAlign w:val="center"/>
          </w:tcPr>
          <w:p>
            <w:pPr>
              <w:shd w:val="clear" w:color="auto"/>
              <w:rPr>
                <w:lang w:eastAsia="ja-JP"/>
              </w:rPr>
            </w:pPr>
            <w:r>
              <w:rPr>
                <w:rFonts w:hint="eastAsia"/>
                <w:lang w:val="en-GB"/>
              </w:rPr>
              <w:t>标准条款</w:t>
            </w:r>
          </w:p>
        </w:tc>
        <w:tc>
          <w:tcPr>
            <w:tcW w:w="608" w:type="dxa"/>
            <w:shd w:val="clear" w:color="auto" w:fill="FFFFFF" w:themeFill="background1"/>
            <w:vAlign w:val="center"/>
          </w:tcPr>
          <w:p>
            <w:pPr>
              <w:shd w:val="clear" w:color="auto"/>
              <w:rPr>
                <w:lang w:eastAsia="ja-JP"/>
              </w:rPr>
            </w:pPr>
            <w:r>
              <w:rPr>
                <w:rFonts w:hint="eastAsia"/>
              </w:rPr>
              <w:t>7.1</w:t>
            </w:r>
          </w:p>
        </w:tc>
        <w:tc>
          <w:tcPr>
            <w:tcW w:w="630" w:type="dxa"/>
            <w:shd w:val="clear" w:color="auto" w:fill="FFFFFF" w:themeFill="background1"/>
            <w:vAlign w:val="center"/>
          </w:tcPr>
          <w:p>
            <w:pPr>
              <w:shd w:val="clear" w:color="auto"/>
              <w:rPr>
                <w:lang w:eastAsia="ja-JP"/>
              </w:rPr>
            </w:pPr>
            <w:r>
              <w:rPr>
                <w:rFonts w:hint="eastAsia"/>
              </w:rPr>
              <w:t>7.2</w:t>
            </w:r>
          </w:p>
        </w:tc>
        <w:tc>
          <w:tcPr>
            <w:tcW w:w="615" w:type="dxa"/>
            <w:shd w:val="clear" w:color="auto" w:fill="FFFFFF" w:themeFill="background1"/>
            <w:vAlign w:val="center"/>
          </w:tcPr>
          <w:p>
            <w:pPr>
              <w:shd w:val="clear" w:color="auto"/>
              <w:rPr>
                <w:lang w:eastAsia="ja-JP"/>
              </w:rPr>
            </w:pPr>
            <w:r>
              <w:rPr>
                <w:rFonts w:hint="eastAsia"/>
              </w:rPr>
              <w:t>7.3</w:t>
            </w:r>
          </w:p>
        </w:tc>
        <w:tc>
          <w:tcPr>
            <w:tcW w:w="645" w:type="dxa"/>
            <w:shd w:val="clear" w:color="auto" w:fill="FFFFFF" w:themeFill="background1"/>
            <w:vAlign w:val="center"/>
          </w:tcPr>
          <w:p>
            <w:pPr>
              <w:shd w:val="clear" w:color="auto"/>
              <w:rPr>
                <w:lang w:eastAsia="ja-JP"/>
              </w:rPr>
            </w:pPr>
            <w:r>
              <w:rPr>
                <w:rFonts w:hint="eastAsia"/>
              </w:rPr>
              <w:t>7.4</w:t>
            </w:r>
          </w:p>
        </w:tc>
        <w:tc>
          <w:tcPr>
            <w:tcW w:w="637" w:type="dxa"/>
            <w:shd w:val="clear" w:color="auto" w:fill="FFFFFF" w:themeFill="background1"/>
            <w:vAlign w:val="center"/>
          </w:tcPr>
          <w:p>
            <w:pPr>
              <w:shd w:val="clear" w:color="auto"/>
              <w:rPr>
                <w:lang w:eastAsia="ja-JP"/>
              </w:rPr>
            </w:pPr>
            <w:r>
              <w:rPr>
                <w:rFonts w:hint="eastAsia"/>
              </w:rPr>
              <w:t>7.5</w:t>
            </w:r>
          </w:p>
        </w:tc>
        <w:tc>
          <w:tcPr>
            <w:tcW w:w="623" w:type="dxa"/>
            <w:shd w:val="clear" w:color="auto" w:fill="FFFFFF" w:themeFill="background1"/>
            <w:vAlign w:val="center"/>
          </w:tcPr>
          <w:p>
            <w:pPr>
              <w:shd w:val="clear" w:color="auto"/>
              <w:rPr>
                <w:lang w:eastAsia="ja-JP"/>
              </w:rPr>
            </w:pPr>
            <w:r>
              <w:rPr>
                <w:rFonts w:hint="eastAsia"/>
              </w:rPr>
              <w:t>8.1</w:t>
            </w:r>
          </w:p>
        </w:tc>
        <w:tc>
          <w:tcPr>
            <w:tcW w:w="637" w:type="dxa"/>
            <w:shd w:val="clear" w:color="auto" w:fill="FFFFFF" w:themeFill="background1"/>
            <w:vAlign w:val="center"/>
          </w:tcPr>
          <w:p>
            <w:pPr>
              <w:shd w:val="clear" w:color="auto"/>
              <w:rPr>
                <w:lang w:eastAsia="ja-JP"/>
              </w:rPr>
            </w:pPr>
            <w:r>
              <w:rPr>
                <w:rFonts w:hint="eastAsia"/>
              </w:rPr>
              <w:t>8.2</w:t>
            </w:r>
          </w:p>
        </w:tc>
        <w:tc>
          <w:tcPr>
            <w:tcW w:w="688" w:type="dxa"/>
            <w:shd w:val="clear" w:color="auto" w:fill="FFFFFF" w:themeFill="background1"/>
            <w:vAlign w:val="center"/>
          </w:tcPr>
          <w:p>
            <w:pPr>
              <w:shd w:val="clear" w:color="auto"/>
              <w:rPr>
                <w:lang w:eastAsia="ja-JP"/>
              </w:rPr>
            </w:pPr>
            <w:r>
              <w:rPr>
                <w:rFonts w:hint="eastAsia"/>
              </w:rPr>
              <w:t>8.3</w:t>
            </w:r>
          </w:p>
        </w:tc>
        <w:tc>
          <w:tcPr>
            <w:tcW w:w="600" w:type="dxa"/>
            <w:shd w:val="clear" w:color="auto" w:fill="FFFFFF" w:themeFill="background1"/>
            <w:vAlign w:val="center"/>
          </w:tcPr>
          <w:p>
            <w:pPr>
              <w:shd w:val="clear" w:color="auto"/>
            </w:pPr>
            <w:r>
              <w:rPr>
                <w:rFonts w:hint="eastAsia"/>
              </w:rPr>
              <w:t>8.4</w:t>
            </w:r>
          </w:p>
        </w:tc>
        <w:tc>
          <w:tcPr>
            <w:tcW w:w="587" w:type="dxa"/>
            <w:shd w:val="clear" w:color="auto" w:fill="FFFFFF" w:themeFill="background1"/>
            <w:vAlign w:val="center"/>
          </w:tcPr>
          <w:p>
            <w:pPr>
              <w:shd w:val="clear" w:color="auto"/>
            </w:pPr>
            <w:r>
              <w:rPr>
                <w:rFonts w:hint="eastAsia"/>
              </w:rPr>
              <w:t>8.5</w:t>
            </w:r>
          </w:p>
        </w:tc>
        <w:tc>
          <w:tcPr>
            <w:tcW w:w="650" w:type="dxa"/>
            <w:shd w:val="clear" w:color="auto" w:fill="FFFFFF" w:themeFill="background1"/>
            <w:vAlign w:val="center"/>
          </w:tcPr>
          <w:p>
            <w:pPr>
              <w:shd w:val="clear" w:color="auto"/>
              <w:rPr>
                <w:lang w:eastAsia="ja-JP"/>
              </w:rPr>
            </w:pPr>
            <w:r>
              <w:rPr>
                <w:rFonts w:hint="eastAsia"/>
              </w:rPr>
              <w:t>8.6</w:t>
            </w:r>
          </w:p>
        </w:tc>
        <w:tc>
          <w:tcPr>
            <w:tcW w:w="649" w:type="dxa"/>
            <w:shd w:val="clear" w:color="auto" w:fill="FFFFFF" w:themeFill="background1"/>
            <w:vAlign w:val="center"/>
          </w:tcPr>
          <w:p>
            <w:pPr>
              <w:shd w:val="clear" w:color="auto"/>
              <w:rPr>
                <w:lang w:eastAsia="ja-JP"/>
              </w:rPr>
            </w:pPr>
            <w:r>
              <w:rPr>
                <w:rFonts w:hint="eastAsia"/>
              </w:rPr>
              <w:t>8.7</w:t>
            </w:r>
          </w:p>
        </w:tc>
        <w:tc>
          <w:tcPr>
            <w:tcW w:w="650" w:type="dxa"/>
            <w:shd w:val="clear" w:color="auto" w:fill="FFFFFF" w:themeFill="background1"/>
            <w:vAlign w:val="center"/>
          </w:tcPr>
          <w:p>
            <w:pPr>
              <w:shd w:val="clear" w:color="auto"/>
              <w:rPr>
                <w:lang w:eastAsia="ja-JP"/>
              </w:rPr>
            </w:pPr>
            <w:r>
              <w:rPr>
                <w:rFonts w:hint="eastAsia"/>
              </w:rPr>
              <w:t>8.8</w:t>
            </w:r>
          </w:p>
        </w:tc>
        <w:tc>
          <w:tcPr>
            <w:tcW w:w="650" w:type="dxa"/>
            <w:shd w:val="clear" w:color="auto" w:fill="FFFFFF" w:themeFill="background1"/>
            <w:vAlign w:val="center"/>
          </w:tcPr>
          <w:p>
            <w:pPr>
              <w:shd w:val="clear" w:color="auto"/>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5" w:hRule="atLeast"/>
        </w:trPr>
        <w:tc>
          <w:tcPr>
            <w:tcW w:w="1337" w:type="dxa"/>
            <w:shd w:val="clear" w:color="auto" w:fill="FFFFFF" w:themeFill="background1"/>
            <w:vAlign w:val="center"/>
          </w:tcPr>
          <w:p>
            <w:pPr>
              <w:shd w:val="clear" w:color="auto"/>
              <w:rPr>
                <w:lang w:eastAsia="ja-JP"/>
              </w:rPr>
            </w:pPr>
            <w:r>
              <w:rPr>
                <w:rFonts w:hint="eastAsia"/>
                <w:lang w:val="en-GB"/>
              </w:rPr>
              <w:t>评价*)</w:t>
            </w:r>
          </w:p>
        </w:tc>
        <w:tc>
          <w:tcPr>
            <w:tcW w:w="608" w:type="dxa"/>
            <w:shd w:val="clear" w:color="auto" w:fill="FFFFFF" w:themeFill="background1"/>
            <w:vAlign w:val="center"/>
          </w:tcPr>
          <w:p>
            <w:pPr>
              <w:shd w:val="clear" w:color="auto"/>
              <w:rPr>
                <w:lang w:eastAsia="ja-JP"/>
              </w:rPr>
            </w:pPr>
            <w:r>
              <w:rPr>
                <w:rFonts w:hint="eastAsia"/>
                <w:lang w:val="en-US" w:eastAsia="zh-CN"/>
              </w:rPr>
              <w:t>3</w:t>
            </w:r>
          </w:p>
        </w:tc>
        <w:tc>
          <w:tcPr>
            <w:tcW w:w="630" w:type="dxa"/>
            <w:shd w:val="clear" w:color="auto" w:fill="FFFFFF" w:themeFill="background1"/>
            <w:vAlign w:val="center"/>
          </w:tcPr>
          <w:p>
            <w:pPr>
              <w:shd w:val="clear" w:color="auto"/>
              <w:rPr>
                <w:lang w:eastAsia="ja-JP"/>
              </w:rPr>
            </w:pPr>
            <w:r>
              <w:rPr>
                <w:rFonts w:hint="eastAsia"/>
                <w:lang w:val="en-US" w:eastAsia="zh-CN"/>
              </w:rPr>
              <w:t>1</w:t>
            </w:r>
          </w:p>
        </w:tc>
        <w:tc>
          <w:tcPr>
            <w:tcW w:w="615" w:type="dxa"/>
            <w:shd w:val="clear" w:color="auto" w:fill="FFFFFF" w:themeFill="background1"/>
            <w:vAlign w:val="center"/>
          </w:tcPr>
          <w:p>
            <w:pPr>
              <w:shd w:val="clear" w:color="auto"/>
              <w:rPr>
                <w:lang w:eastAsia="ja-JP"/>
              </w:rPr>
            </w:pPr>
            <w:r>
              <w:rPr>
                <w:rFonts w:hint="eastAsia"/>
                <w:lang w:val="en-US" w:eastAsia="zh-CN"/>
              </w:rPr>
              <w:t>1</w:t>
            </w:r>
          </w:p>
        </w:tc>
        <w:tc>
          <w:tcPr>
            <w:tcW w:w="645" w:type="dxa"/>
            <w:shd w:val="clear" w:color="auto" w:fill="FFFFFF" w:themeFill="background1"/>
            <w:vAlign w:val="center"/>
          </w:tcPr>
          <w:p>
            <w:pPr>
              <w:shd w:val="clear" w:color="auto"/>
              <w:rPr>
                <w:lang w:eastAsia="ja-JP"/>
              </w:rPr>
            </w:pPr>
            <w:r>
              <w:rPr>
                <w:rFonts w:hint="eastAsia"/>
                <w:lang w:val="en-US" w:eastAsia="zh-CN"/>
              </w:rPr>
              <w:t>1</w:t>
            </w:r>
          </w:p>
        </w:tc>
        <w:tc>
          <w:tcPr>
            <w:tcW w:w="637" w:type="dxa"/>
            <w:shd w:val="clear" w:color="auto" w:fill="FFFFFF" w:themeFill="background1"/>
            <w:vAlign w:val="center"/>
          </w:tcPr>
          <w:p>
            <w:pPr>
              <w:shd w:val="clear" w:color="auto"/>
              <w:rPr>
                <w:lang w:eastAsia="ja-JP"/>
              </w:rPr>
            </w:pPr>
            <w:r>
              <w:rPr>
                <w:rFonts w:hint="eastAsia"/>
                <w:lang w:val="en-US" w:eastAsia="zh-CN"/>
              </w:rPr>
              <w:t>1</w:t>
            </w:r>
          </w:p>
        </w:tc>
        <w:tc>
          <w:tcPr>
            <w:tcW w:w="623" w:type="dxa"/>
            <w:shd w:val="clear" w:color="auto" w:fill="FFFFFF" w:themeFill="background1"/>
            <w:vAlign w:val="center"/>
          </w:tcPr>
          <w:p>
            <w:pPr>
              <w:shd w:val="clear" w:color="auto"/>
              <w:rPr>
                <w:lang w:eastAsia="ja-JP"/>
              </w:rPr>
            </w:pPr>
            <w:r>
              <w:rPr>
                <w:rFonts w:hint="eastAsia"/>
                <w:lang w:val="en-US" w:eastAsia="zh-CN"/>
              </w:rPr>
              <w:t>1</w:t>
            </w:r>
          </w:p>
        </w:tc>
        <w:tc>
          <w:tcPr>
            <w:tcW w:w="637" w:type="dxa"/>
            <w:shd w:val="clear" w:color="auto" w:fill="FFFFFF" w:themeFill="background1"/>
            <w:vAlign w:val="center"/>
          </w:tcPr>
          <w:p>
            <w:pPr>
              <w:shd w:val="clear" w:color="auto"/>
              <w:rPr>
                <w:lang w:eastAsia="ja-JP"/>
              </w:rPr>
            </w:pPr>
            <w:r>
              <w:rPr>
                <w:rFonts w:hint="eastAsia"/>
                <w:lang w:val="en-US" w:eastAsia="zh-CN"/>
              </w:rPr>
              <w:t>1</w:t>
            </w:r>
          </w:p>
        </w:tc>
        <w:tc>
          <w:tcPr>
            <w:tcW w:w="688" w:type="dxa"/>
            <w:shd w:val="clear" w:color="auto" w:fill="FFFFFF" w:themeFill="background1"/>
            <w:vAlign w:val="center"/>
          </w:tcPr>
          <w:p>
            <w:pPr>
              <w:shd w:val="clear" w:color="auto"/>
              <w:rPr>
                <w:lang w:eastAsia="ja-JP"/>
              </w:rPr>
            </w:pPr>
            <w:r>
              <w:rPr>
                <w:rFonts w:hint="eastAsia"/>
                <w:lang w:val="en-US" w:eastAsia="zh-CN"/>
              </w:rPr>
              <w:t>1</w:t>
            </w:r>
          </w:p>
        </w:tc>
        <w:tc>
          <w:tcPr>
            <w:tcW w:w="600" w:type="dxa"/>
            <w:shd w:val="clear" w:color="auto" w:fill="FFFFFF" w:themeFill="background1"/>
            <w:vAlign w:val="center"/>
          </w:tcPr>
          <w:p>
            <w:pPr>
              <w:shd w:val="clear" w:color="auto"/>
              <w:rPr>
                <w:lang w:eastAsia="ja-JP"/>
              </w:rPr>
            </w:pPr>
            <w:r>
              <w:rPr>
                <w:rFonts w:hint="eastAsia"/>
                <w:lang w:val="en-US" w:eastAsia="zh-CN"/>
              </w:rPr>
              <w:t>1</w:t>
            </w:r>
          </w:p>
        </w:tc>
        <w:tc>
          <w:tcPr>
            <w:tcW w:w="587" w:type="dxa"/>
            <w:shd w:val="clear" w:color="auto" w:fill="FFFFFF" w:themeFill="background1"/>
            <w:vAlign w:val="center"/>
          </w:tcPr>
          <w:p>
            <w:pPr>
              <w:shd w:val="clear" w:color="auto"/>
              <w:rPr>
                <w:lang w:eastAsia="ja-JP"/>
              </w:rPr>
            </w:pPr>
            <w:r>
              <w:rPr>
                <w:rFonts w:hint="eastAsia"/>
                <w:lang w:val="en-US" w:eastAsia="zh-CN"/>
              </w:rPr>
              <w:t>1</w:t>
            </w:r>
          </w:p>
        </w:tc>
        <w:tc>
          <w:tcPr>
            <w:tcW w:w="650" w:type="dxa"/>
            <w:shd w:val="clear" w:color="auto" w:fill="FFFFFF" w:themeFill="background1"/>
            <w:vAlign w:val="center"/>
          </w:tcPr>
          <w:p>
            <w:pPr>
              <w:shd w:val="clear" w:color="auto"/>
              <w:rPr>
                <w:lang w:eastAsia="ja-JP"/>
              </w:rPr>
            </w:pPr>
            <w:r>
              <w:rPr>
                <w:rFonts w:hint="eastAsia"/>
                <w:lang w:val="en-US" w:eastAsia="zh-CN"/>
              </w:rPr>
              <w:t>1</w:t>
            </w:r>
          </w:p>
        </w:tc>
        <w:tc>
          <w:tcPr>
            <w:tcW w:w="649" w:type="dxa"/>
            <w:shd w:val="clear" w:color="auto" w:fill="FFFFFF" w:themeFill="background1"/>
            <w:vAlign w:val="center"/>
          </w:tcPr>
          <w:p>
            <w:pPr>
              <w:shd w:val="clear" w:color="auto"/>
              <w:rPr>
                <w:lang w:eastAsia="ja-JP"/>
              </w:rPr>
            </w:pPr>
            <w:r>
              <w:rPr>
                <w:rFonts w:hint="eastAsia"/>
                <w:lang w:val="en-US" w:eastAsia="zh-CN"/>
              </w:rPr>
              <w:t>1</w:t>
            </w:r>
          </w:p>
        </w:tc>
        <w:tc>
          <w:tcPr>
            <w:tcW w:w="650" w:type="dxa"/>
            <w:shd w:val="clear" w:color="auto" w:fill="FFFFFF" w:themeFill="background1"/>
            <w:vAlign w:val="center"/>
          </w:tcPr>
          <w:p>
            <w:pPr>
              <w:shd w:val="clear" w:color="auto"/>
              <w:rPr>
                <w:lang w:eastAsia="ja-JP"/>
              </w:rPr>
            </w:pPr>
            <w:r>
              <w:rPr>
                <w:rFonts w:hint="eastAsia"/>
                <w:lang w:val="en-US" w:eastAsia="zh-CN"/>
              </w:rPr>
              <w:t>1</w:t>
            </w:r>
          </w:p>
        </w:tc>
        <w:tc>
          <w:tcPr>
            <w:tcW w:w="650" w:type="dxa"/>
            <w:shd w:val="clear" w:color="auto" w:fill="FFFFFF" w:themeFill="background1"/>
            <w:vAlign w:val="center"/>
          </w:tcPr>
          <w:p>
            <w:pPr>
              <w:shd w:val="clear" w:color="auto"/>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FFFFFF" w:themeFill="background1"/>
            <w:vAlign w:val="center"/>
          </w:tcPr>
          <w:p>
            <w:pPr>
              <w:shd w:val="clear" w:color="auto"/>
              <w:rPr>
                <w:lang w:eastAsia="ja-JP"/>
              </w:rPr>
            </w:pPr>
            <w:r>
              <w:rPr>
                <w:rFonts w:hint="eastAsia"/>
              </w:rPr>
              <w:t>不符合数量</w:t>
            </w:r>
          </w:p>
        </w:tc>
        <w:tc>
          <w:tcPr>
            <w:tcW w:w="608" w:type="dxa"/>
            <w:shd w:val="clear" w:color="auto" w:fill="FFFFFF" w:themeFill="background1"/>
            <w:vAlign w:val="center"/>
          </w:tcPr>
          <w:p>
            <w:pPr>
              <w:shd w:val="clear" w:color="auto"/>
              <w:rPr>
                <w:rFonts w:hint="default" w:eastAsia="宋体"/>
                <w:lang w:val="en-US" w:eastAsia="zh-CN"/>
              </w:rPr>
            </w:pPr>
            <w:r>
              <w:rPr>
                <w:rFonts w:hint="eastAsia"/>
                <w:lang w:val="en-US" w:eastAsia="zh-CN"/>
              </w:rPr>
              <w:t>01</w:t>
            </w:r>
          </w:p>
        </w:tc>
        <w:tc>
          <w:tcPr>
            <w:tcW w:w="630" w:type="dxa"/>
            <w:shd w:val="clear" w:color="auto" w:fill="FFFFFF" w:themeFill="background1"/>
            <w:vAlign w:val="center"/>
          </w:tcPr>
          <w:p>
            <w:pPr>
              <w:shd w:val="clear" w:color="auto"/>
              <w:rPr>
                <w:lang w:eastAsia="ja-JP"/>
              </w:rPr>
            </w:pPr>
          </w:p>
        </w:tc>
        <w:tc>
          <w:tcPr>
            <w:tcW w:w="615" w:type="dxa"/>
            <w:shd w:val="clear" w:color="auto" w:fill="FFFFFF" w:themeFill="background1"/>
            <w:vAlign w:val="center"/>
          </w:tcPr>
          <w:p>
            <w:pPr>
              <w:shd w:val="clear" w:color="auto"/>
              <w:rPr>
                <w:lang w:eastAsia="ja-JP"/>
              </w:rPr>
            </w:pPr>
          </w:p>
        </w:tc>
        <w:tc>
          <w:tcPr>
            <w:tcW w:w="645" w:type="dxa"/>
            <w:shd w:val="clear" w:color="auto" w:fill="FFFFFF" w:themeFill="background1"/>
            <w:vAlign w:val="center"/>
          </w:tcPr>
          <w:p>
            <w:pPr>
              <w:shd w:val="clear" w:color="auto"/>
              <w:rPr>
                <w:lang w:eastAsia="ja-JP"/>
              </w:rPr>
            </w:pPr>
          </w:p>
        </w:tc>
        <w:tc>
          <w:tcPr>
            <w:tcW w:w="637" w:type="dxa"/>
            <w:shd w:val="clear" w:color="auto" w:fill="FFFFFF" w:themeFill="background1"/>
            <w:vAlign w:val="center"/>
          </w:tcPr>
          <w:p>
            <w:pPr>
              <w:shd w:val="clear" w:color="auto"/>
              <w:rPr>
                <w:lang w:eastAsia="ja-JP"/>
              </w:rPr>
            </w:pPr>
          </w:p>
        </w:tc>
        <w:tc>
          <w:tcPr>
            <w:tcW w:w="623" w:type="dxa"/>
            <w:shd w:val="clear" w:color="auto" w:fill="FFFFFF" w:themeFill="background1"/>
            <w:vAlign w:val="center"/>
          </w:tcPr>
          <w:p>
            <w:pPr>
              <w:shd w:val="clear" w:color="auto"/>
              <w:rPr>
                <w:lang w:eastAsia="ja-JP"/>
              </w:rPr>
            </w:pPr>
          </w:p>
        </w:tc>
        <w:tc>
          <w:tcPr>
            <w:tcW w:w="637" w:type="dxa"/>
            <w:tcBorders>
              <w:bottom w:val="single" w:color="auto" w:sz="4" w:space="0"/>
            </w:tcBorders>
            <w:shd w:val="clear" w:color="auto" w:fill="FFFFFF" w:themeFill="background1"/>
            <w:vAlign w:val="center"/>
          </w:tcPr>
          <w:p>
            <w:pPr>
              <w:shd w:val="clear" w:color="auto"/>
              <w:rPr>
                <w:lang w:eastAsia="ja-JP"/>
              </w:rPr>
            </w:pPr>
          </w:p>
        </w:tc>
        <w:tc>
          <w:tcPr>
            <w:tcW w:w="688" w:type="dxa"/>
            <w:tcBorders>
              <w:bottom w:val="single" w:color="auto" w:sz="4" w:space="0"/>
            </w:tcBorders>
            <w:shd w:val="clear" w:color="auto" w:fill="FFFFFF" w:themeFill="background1"/>
            <w:vAlign w:val="center"/>
          </w:tcPr>
          <w:p>
            <w:pPr>
              <w:shd w:val="clear" w:color="auto"/>
              <w:rPr>
                <w:lang w:eastAsia="ja-JP"/>
              </w:rPr>
            </w:pPr>
          </w:p>
        </w:tc>
        <w:tc>
          <w:tcPr>
            <w:tcW w:w="600" w:type="dxa"/>
            <w:tcBorders>
              <w:bottom w:val="single" w:color="auto" w:sz="4" w:space="0"/>
            </w:tcBorders>
            <w:shd w:val="clear" w:color="auto" w:fill="FFFFFF" w:themeFill="background1"/>
            <w:vAlign w:val="center"/>
          </w:tcPr>
          <w:p>
            <w:pPr>
              <w:shd w:val="clear" w:color="auto"/>
              <w:rPr>
                <w:lang w:eastAsia="ja-JP"/>
              </w:rPr>
            </w:pPr>
          </w:p>
        </w:tc>
        <w:tc>
          <w:tcPr>
            <w:tcW w:w="587" w:type="dxa"/>
            <w:tcBorders>
              <w:bottom w:val="single" w:color="auto" w:sz="4" w:space="0"/>
            </w:tcBorders>
            <w:shd w:val="clear" w:color="auto" w:fill="FFFFFF" w:themeFill="background1"/>
            <w:vAlign w:val="center"/>
          </w:tcPr>
          <w:p>
            <w:pPr>
              <w:shd w:val="clear" w:color="auto"/>
              <w:rPr>
                <w:lang w:eastAsia="ja-JP"/>
              </w:rPr>
            </w:pPr>
          </w:p>
        </w:tc>
        <w:tc>
          <w:tcPr>
            <w:tcW w:w="650" w:type="dxa"/>
            <w:tcBorders>
              <w:bottom w:val="single" w:color="auto" w:sz="4" w:space="0"/>
            </w:tcBorders>
            <w:shd w:val="clear" w:color="auto" w:fill="FFFFFF" w:themeFill="background1"/>
            <w:vAlign w:val="center"/>
          </w:tcPr>
          <w:p>
            <w:pPr>
              <w:shd w:val="clear" w:color="auto"/>
              <w:rPr>
                <w:lang w:eastAsia="ja-JP"/>
              </w:rPr>
            </w:pPr>
          </w:p>
        </w:tc>
        <w:tc>
          <w:tcPr>
            <w:tcW w:w="649" w:type="dxa"/>
            <w:tcBorders>
              <w:bottom w:val="single" w:color="auto" w:sz="4" w:space="0"/>
            </w:tcBorders>
            <w:shd w:val="clear" w:color="auto" w:fill="FFFFFF" w:themeFill="background1"/>
            <w:vAlign w:val="center"/>
          </w:tcPr>
          <w:p>
            <w:pPr>
              <w:shd w:val="clear" w:color="auto"/>
              <w:rPr>
                <w:lang w:eastAsia="ja-JP"/>
              </w:rPr>
            </w:pPr>
          </w:p>
        </w:tc>
        <w:tc>
          <w:tcPr>
            <w:tcW w:w="650" w:type="dxa"/>
            <w:tcBorders>
              <w:bottom w:val="single" w:color="auto" w:sz="4" w:space="0"/>
            </w:tcBorders>
            <w:shd w:val="clear" w:color="auto" w:fill="FFFFFF" w:themeFill="background1"/>
            <w:vAlign w:val="center"/>
          </w:tcPr>
          <w:p>
            <w:pPr>
              <w:shd w:val="clear" w:color="auto"/>
              <w:rPr>
                <w:lang w:eastAsia="ja-JP"/>
              </w:rPr>
            </w:pPr>
          </w:p>
        </w:tc>
        <w:tc>
          <w:tcPr>
            <w:tcW w:w="650" w:type="dxa"/>
            <w:tcBorders>
              <w:bottom w:val="single" w:color="auto" w:sz="4" w:space="0"/>
            </w:tcBorders>
            <w:shd w:val="clear" w:color="auto" w:fill="FFFFFF" w:themeFill="background1"/>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FFFFFF" w:themeFill="background1"/>
            <w:vAlign w:val="center"/>
          </w:tcPr>
          <w:p>
            <w:pPr>
              <w:shd w:val="clear" w:color="auto"/>
              <w:rPr>
                <w:lang w:eastAsia="ja-JP"/>
              </w:rPr>
            </w:pPr>
            <w:r>
              <w:rPr>
                <w:rFonts w:hint="eastAsia"/>
                <w:lang w:val="en-GB"/>
              </w:rPr>
              <w:t>标准条款</w:t>
            </w:r>
          </w:p>
        </w:tc>
        <w:tc>
          <w:tcPr>
            <w:tcW w:w="608" w:type="dxa"/>
            <w:shd w:val="clear" w:color="auto" w:fill="FFFFFF" w:themeFill="background1"/>
            <w:vAlign w:val="center"/>
          </w:tcPr>
          <w:p>
            <w:pPr>
              <w:shd w:val="clear" w:color="auto"/>
              <w:rPr>
                <w:lang w:eastAsia="ja-JP"/>
              </w:rPr>
            </w:pPr>
            <w:r>
              <w:rPr>
                <w:rFonts w:hint="eastAsia"/>
              </w:rPr>
              <w:t>9.1</w:t>
            </w:r>
          </w:p>
        </w:tc>
        <w:tc>
          <w:tcPr>
            <w:tcW w:w="630" w:type="dxa"/>
            <w:shd w:val="clear" w:color="auto" w:fill="FFFFFF" w:themeFill="background1"/>
            <w:vAlign w:val="center"/>
          </w:tcPr>
          <w:p>
            <w:pPr>
              <w:shd w:val="clear" w:color="auto"/>
              <w:rPr>
                <w:lang w:eastAsia="ja-JP"/>
              </w:rPr>
            </w:pPr>
            <w:r>
              <w:rPr>
                <w:rFonts w:hint="eastAsia"/>
              </w:rPr>
              <w:t>9.2</w:t>
            </w:r>
          </w:p>
        </w:tc>
        <w:tc>
          <w:tcPr>
            <w:tcW w:w="615" w:type="dxa"/>
            <w:shd w:val="clear" w:color="auto" w:fill="FFFFFF" w:themeFill="background1"/>
            <w:vAlign w:val="center"/>
          </w:tcPr>
          <w:p>
            <w:pPr>
              <w:shd w:val="clear" w:color="auto"/>
              <w:rPr>
                <w:lang w:eastAsia="ja-JP"/>
              </w:rPr>
            </w:pPr>
            <w:r>
              <w:rPr>
                <w:rFonts w:hint="eastAsia"/>
              </w:rPr>
              <w:t>9.3</w:t>
            </w:r>
          </w:p>
        </w:tc>
        <w:tc>
          <w:tcPr>
            <w:tcW w:w="645" w:type="dxa"/>
            <w:shd w:val="clear" w:color="auto" w:fill="FFFFFF" w:themeFill="background1"/>
            <w:vAlign w:val="center"/>
          </w:tcPr>
          <w:p>
            <w:pPr>
              <w:shd w:val="clear" w:color="auto"/>
              <w:rPr>
                <w:lang w:eastAsia="ja-JP"/>
              </w:rPr>
            </w:pPr>
            <w:r>
              <w:rPr>
                <w:rFonts w:hint="eastAsia"/>
              </w:rPr>
              <w:t>10.1</w:t>
            </w:r>
          </w:p>
        </w:tc>
        <w:tc>
          <w:tcPr>
            <w:tcW w:w="637" w:type="dxa"/>
            <w:shd w:val="clear" w:color="auto" w:fill="FFFFFF" w:themeFill="background1"/>
            <w:vAlign w:val="center"/>
          </w:tcPr>
          <w:p>
            <w:pPr>
              <w:shd w:val="clear" w:color="auto"/>
              <w:rPr>
                <w:lang w:eastAsia="ja-JP"/>
              </w:rPr>
            </w:pPr>
            <w:r>
              <w:rPr>
                <w:rFonts w:hint="eastAsia"/>
              </w:rPr>
              <w:t>10.2</w:t>
            </w:r>
          </w:p>
        </w:tc>
        <w:tc>
          <w:tcPr>
            <w:tcW w:w="623" w:type="dxa"/>
            <w:shd w:val="clear" w:color="auto" w:fill="FFFFFF" w:themeFill="background1"/>
            <w:vAlign w:val="center"/>
          </w:tcPr>
          <w:p>
            <w:pPr>
              <w:shd w:val="clear" w:color="auto"/>
              <w:rPr>
                <w:lang w:eastAsia="ja-JP"/>
              </w:rPr>
            </w:pPr>
            <w:r>
              <w:rPr>
                <w:rFonts w:hint="eastAsia"/>
              </w:rPr>
              <w:t>10.3</w:t>
            </w:r>
          </w:p>
        </w:tc>
        <w:tc>
          <w:tcPr>
            <w:tcW w:w="637" w:type="dxa"/>
            <w:shd w:val="clear" w:color="auto" w:fill="FFFFFF" w:themeFill="background1"/>
            <w:vAlign w:val="center"/>
          </w:tcPr>
          <w:p>
            <w:pPr>
              <w:shd w:val="clear" w:color="auto"/>
              <w:rPr>
                <w:lang w:eastAsia="ja-JP"/>
              </w:rPr>
            </w:pPr>
          </w:p>
        </w:tc>
        <w:tc>
          <w:tcPr>
            <w:tcW w:w="688" w:type="dxa"/>
            <w:shd w:val="clear" w:color="auto" w:fill="FFFFFF" w:themeFill="background1"/>
            <w:vAlign w:val="center"/>
          </w:tcPr>
          <w:p>
            <w:pPr>
              <w:shd w:val="clear" w:color="auto"/>
              <w:rPr>
                <w:lang w:eastAsia="ja-JP"/>
              </w:rPr>
            </w:pPr>
          </w:p>
        </w:tc>
        <w:tc>
          <w:tcPr>
            <w:tcW w:w="600" w:type="dxa"/>
            <w:shd w:val="clear" w:color="auto" w:fill="FFFFFF" w:themeFill="background1"/>
            <w:vAlign w:val="center"/>
          </w:tcPr>
          <w:p>
            <w:pPr>
              <w:shd w:val="clear" w:color="auto"/>
              <w:rPr>
                <w:lang w:eastAsia="ja-JP"/>
              </w:rPr>
            </w:pPr>
          </w:p>
        </w:tc>
        <w:tc>
          <w:tcPr>
            <w:tcW w:w="587"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c>
          <w:tcPr>
            <w:tcW w:w="649"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FFFFFF" w:themeFill="background1"/>
            <w:vAlign w:val="center"/>
          </w:tcPr>
          <w:p>
            <w:pPr>
              <w:shd w:val="clear" w:color="auto"/>
              <w:rPr>
                <w:lang w:eastAsia="ja-JP"/>
              </w:rPr>
            </w:pPr>
            <w:r>
              <w:rPr>
                <w:rFonts w:hint="eastAsia"/>
                <w:lang w:val="en-GB"/>
              </w:rPr>
              <w:t>评价*)</w:t>
            </w:r>
          </w:p>
        </w:tc>
        <w:tc>
          <w:tcPr>
            <w:tcW w:w="608" w:type="dxa"/>
            <w:shd w:val="clear" w:color="auto" w:fill="FFFFFF" w:themeFill="background1"/>
            <w:vAlign w:val="center"/>
          </w:tcPr>
          <w:p>
            <w:pPr>
              <w:shd w:val="clear" w:color="auto"/>
              <w:rPr>
                <w:lang w:eastAsia="ja-JP"/>
              </w:rPr>
            </w:pPr>
            <w:r>
              <w:rPr>
                <w:rFonts w:hint="eastAsia"/>
                <w:lang w:val="en-US" w:eastAsia="zh-CN"/>
              </w:rPr>
              <w:t>1</w:t>
            </w:r>
          </w:p>
        </w:tc>
        <w:tc>
          <w:tcPr>
            <w:tcW w:w="630" w:type="dxa"/>
            <w:shd w:val="clear" w:color="auto" w:fill="FFFFFF" w:themeFill="background1"/>
            <w:vAlign w:val="center"/>
          </w:tcPr>
          <w:p>
            <w:pPr>
              <w:shd w:val="clear" w:color="auto"/>
              <w:rPr>
                <w:lang w:eastAsia="ja-JP"/>
              </w:rPr>
            </w:pPr>
            <w:r>
              <w:rPr>
                <w:rFonts w:hint="eastAsia"/>
                <w:lang w:val="en-US" w:eastAsia="zh-CN"/>
              </w:rPr>
              <w:t>1</w:t>
            </w:r>
          </w:p>
        </w:tc>
        <w:tc>
          <w:tcPr>
            <w:tcW w:w="615" w:type="dxa"/>
            <w:shd w:val="clear" w:color="auto" w:fill="FFFFFF" w:themeFill="background1"/>
            <w:vAlign w:val="center"/>
          </w:tcPr>
          <w:p>
            <w:pPr>
              <w:shd w:val="clear" w:color="auto"/>
              <w:rPr>
                <w:lang w:eastAsia="ja-JP"/>
              </w:rPr>
            </w:pPr>
            <w:r>
              <w:rPr>
                <w:rFonts w:hint="eastAsia"/>
                <w:lang w:val="en-US" w:eastAsia="zh-CN"/>
              </w:rPr>
              <w:t>1</w:t>
            </w:r>
          </w:p>
        </w:tc>
        <w:tc>
          <w:tcPr>
            <w:tcW w:w="645" w:type="dxa"/>
            <w:shd w:val="clear" w:color="auto" w:fill="FFFFFF" w:themeFill="background1"/>
            <w:vAlign w:val="center"/>
          </w:tcPr>
          <w:p>
            <w:pPr>
              <w:shd w:val="clear" w:color="auto"/>
              <w:rPr>
                <w:lang w:eastAsia="ja-JP"/>
              </w:rPr>
            </w:pPr>
            <w:r>
              <w:rPr>
                <w:rFonts w:hint="eastAsia"/>
                <w:lang w:val="en-US" w:eastAsia="zh-CN"/>
              </w:rPr>
              <w:t>1</w:t>
            </w:r>
          </w:p>
        </w:tc>
        <w:tc>
          <w:tcPr>
            <w:tcW w:w="637" w:type="dxa"/>
            <w:shd w:val="clear" w:color="auto" w:fill="FFFFFF" w:themeFill="background1"/>
            <w:vAlign w:val="center"/>
          </w:tcPr>
          <w:p>
            <w:pPr>
              <w:shd w:val="clear" w:color="auto"/>
              <w:rPr>
                <w:lang w:eastAsia="ja-JP"/>
              </w:rPr>
            </w:pPr>
            <w:r>
              <w:rPr>
                <w:rFonts w:hint="eastAsia"/>
                <w:lang w:val="en-US" w:eastAsia="zh-CN"/>
              </w:rPr>
              <w:t>1</w:t>
            </w:r>
          </w:p>
        </w:tc>
        <w:tc>
          <w:tcPr>
            <w:tcW w:w="623" w:type="dxa"/>
            <w:shd w:val="clear" w:color="auto" w:fill="FFFFFF" w:themeFill="background1"/>
            <w:vAlign w:val="center"/>
          </w:tcPr>
          <w:p>
            <w:pPr>
              <w:shd w:val="clear" w:color="auto"/>
              <w:rPr>
                <w:lang w:eastAsia="ja-JP"/>
              </w:rPr>
            </w:pPr>
            <w:r>
              <w:rPr>
                <w:rFonts w:hint="eastAsia"/>
                <w:lang w:val="en-US" w:eastAsia="zh-CN"/>
              </w:rPr>
              <w:t>1</w:t>
            </w:r>
          </w:p>
        </w:tc>
        <w:tc>
          <w:tcPr>
            <w:tcW w:w="637" w:type="dxa"/>
            <w:shd w:val="clear" w:color="auto" w:fill="FFFFFF" w:themeFill="background1"/>
            <w:vAlign w:val="center"/>
          </w:tcPr>
          <w:p>
            <w:pPr>
              <w:shd w:val="clear" w:color="auto"/>
              <w:rPr>
                <w:lang w:eastAsia="ja-JP"/>
              </w:rPr>
            </w:pPr>
          </w:p>
        </w:tc>
        <w:tc>
          <w:tcPr>
            <w:tcW w:w="688" w:type="dxa"/>
            <w:shd w:val="clear" w:color="auto" w:fill="FFFFFF" w:themeFill="background1"/>
            <w:vAlign w:val="center"/>
          </w:tcPr>
          <w:p>
            <w:pPr>
              <w:shd w:val="clear" w:color="auto"/>
              <w:rPr>
                <w:lang w:eastAsia="ja-JP"/>
              </w:rPr>
            </w:pPr>
          </w:p>
        </w:tc>
        <w:tc>
          <w:tcPr>
            <w:tcW w:w="600" w:type="dxa"/>
            <w:shd w:val="clear" w:color="auto" w:fill="FFFFFF" w:themeFill="background1"/>
            <w:vAlign w:val="center"/>
          </w:tcPr>
          <w:p>
            <w:pPr>
              <w:shd w:val="clear" w:color="auto"/>
              <w:rPr>
                <w:lang w:eastAsia="ja-JP"/>
              </w:rPr>
            </w:pPr>
          </w:p>
        </w:tc>
        <w:tc>
          <w:tcPr>
            <w:tcW w:w="587"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c>
          <w:tcPr>
            <w:tcW w:w="649"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FFFFFF" w:themeFill="background1"/>
            <w:vAlign w:val="center"/>
          </w:tcPr>
          <w:p>
            <w:pPr>
              <w:shd w:val="clear" w:color="auto"/>
              <w:rPr>
                <w:lang w:eastAsia="ja-JP"/>
              </w:rPr>
            </w:pPr>
            <w:r>
              <w:rPr>
                <w:rFonts w:hint="eastAsia"/>
              </w:rPr>
              <w:t>不符合数量</w:t>
            </w:r>
          </w:p>
        </w:tc>
        <w:tc>
          <w:tcPr>
            <w:tcW w:w="608" w:type="dxa"/>
            <w:shd w:val="clear" w:color="auto" w:fill="FFFFFF" w:themeFill="background1"/>
            <w:vAlign w:val="center"/>
          </w:tcPr>
          <w:p>
            <w:pPr>
              <w:shd w:val="clear" w:color="auto"/>
              <w:rPr>
                <w:lang w:eastAsia="ja-JP"/>
              </w:rPr>
            </w:pPr>
          </w:p>
        </w:tc>
        <w:tc>
          <w:tcPr>
            <w:tcW w:w="630" w:type="dxa"/>
            <w:shd w:val="clear" w:color="auto" w:fill="FFFFFF" w:themeFill="background1"/>
            <w:vAlign w:val="center"/>
          </w:tcPr>
          <w:p>
            <w:pPr>
              <w:shd w:val="clear" w:color="auto"/>
              <w:rPr>
                <w:lang w:eastAsia="ja-JP"/>
              </w:rPr>
            </w:pPr>
          </w:p>
        </w:tc>
        <w:tc>
          <w:tcPr>
            <w:tcW w:w="615" w:type="dxa"/>
            <w:shd w:val="clear" w:color="auto" w:fill="FFFFFF" w:themeFill="background1"/>
            <w:vAlign w:val="center"/>
          </w:tcPr>
          <w:p>
            <w:pPr>
              <w:shd w:val="clear" w:color="auto"/>
              <w:rPr>
                <w:lang w:eastAsia="ja-JP"/>
              </w:rPr>
            </w:pPr>
          </w:p>
        </w:tc>
        <w:tc>
          <w:tcPr>
            <w:tcW w:w="645" w:type="dxa"/>
            <w:shd w:val="clear" w:color="auto" w:fill="FFFFFF" w:themeFill="background1"/>
            <w:vAlign w:val="center"/>
          </w:tcPr>
          <w:p>
            <w:pPr>
              <w:shd w:val="clear" w:color="auto"/>
              <w:rPr>
                <w:lang w:eastAsia="ja-JP"/>
              </w:rPr>
            </w:pPr>
          </w:p>
        </w:tc>
        <w:tc>
          <w:tcPr>
            <w:tcW w:w="637" w:type="dxa"/>
            <w:shd w:val="clear" w:color="auto" w:fill="FFFFFF" w:themeFill="background1"/>
            <w:vAlign w:val="center"/>
          </w:tcPr>
          <w:p>
            <w:pPr>
              <w:shd w:val="clear" w:color="auto"/>
              <w:rPr>
                <w:lang w:eastAsia="ja-JP"/>
              </w:rPr>
            </w:pPr>
          </w:p>
        </w:tc>
        <w:tc>
          <w:tcPr>
            <w:tcW w:w="623" w:type="dxa"/>
            <w:shd w:val="clear" w:color="auto" w:fill="FFFFFF" w:themeFill="background1"/>
            <w:vAlign w:val="center"/>
          </w:tcPr>
          <w:p>
            <w:pPr>
              <w:shd w:val="clear" w:color="auto"/>
              <w:rPr>
                <w:lang w:eastAsia="ja-JP"/>
              </w:rPr>
            </w:pPr>
          </w:p>
        </w:tc>
        <w:tc>
          <w:tcPr>
            <w:tcW w:w="637" w:type="dxa"/>
            <w:shd w:val="clear" w:color="auto" w:fill="FFFFFF" w:themeFill="background1"/>
            <w:vAlign w:val="center"/>
          </w:tcPr>
          <w:p>
            <w:pPr>
              <w:shd w:val="clear" w:color="auto"/>
              <w:rPr>
                <w:lang w:eastAsia="ja-JP"/>
              </w:rPr>
            </w:pPr>
          </w:p>
        </w:tc>
        <w:tc>
          <w:tcPr>
            <w:tcW w:w="688" w:type="dxa"/>
            <w:shd w:val="clear" w:color="auto" w:fill="FFFFFF" w:themeFill="background1"/>
            <w:vAlign w:val="center"/>
          </w:tcPr>
          <w:p>
            <w:pPr>
              <w:shd w:val="clear" w:color="auto"/>
              <w:rPr>
                <w:lang w:eastAsia="ja-JP"/>
              </w:rPr>
            </w:pPr>
          </w:p>
        </w:tc>
        <w:tc>
          <w:tcPr>
            <w:tcW w:w="600" w:type="dxa"/>
            <w:shd w:val="clear" w:color="auto" w:fill="FFFFFF" w:themeFill="background1"/>
            <w:vAlign w:val="center"/>
          </w:tcPr>
          <w:p>
            <w:pPr>
              <w:shd w:val="clear" w:color="auto"/>
              <w:rPr>
                <w:lang w:eastAsia="ja-JP"/>
              </w:rPr>
            </w:pPr>
          </w:p>
        </w:tc>
        <w:tc>
          <w:tcPr>
            <w:tcW w:w="587"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c>
          <w:tcPr>
            <w:tcW w:w="649"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c>
          <w:tcPr>
            <w:tcW w:w="650" w:type="dxa"/>
            <w:shd w:val="clear" w:color="auto" w:fill="FFFFFF" w:themeFill="background1"/>
            <w:vAlign w:val="center"/>
          </w:tcPr>
          <w:p>
            <w:pPr>
              <w:shd w:val="clear" w:color="auto"/>
              <w:rPr>
                <w:lang w:eastAsia="ja-JP"/>
              </w:rPr>
            </w:pPr>
          </w:p>
        </w:tc>
      </w:tr>
    </w:tbl>
    <w:p>
      <w:pPr>
        <w:shd w:val="clear" w:color="auto"/>
      </w:pPr>
    </w:p>
    <w:p>
      <w:pPr>
        <w:shd w:val="clear" w:color="auto"/>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F8AF5FD"/>
    <w:multiLevelType w:val="singleLevel"/>
    <w:tmpl w:val="0F8AF5FD"/>
    <w:lvl w:ilvl="0" w:tentative="0">
      <w:start w:val="1"/>
      <w:numFmt w:val="decimal"/>
      <w:lvlText w:val="%1."/>
      <w:lvlJc w:val="left"/>
      <w:pPr>
        <w:tabs>
          <w:tab w:val="left" w:pos="312"/>
        </w:tabs>
      </w:p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39965DAE"/>
    <w:rsid w:val="44705007"/>
    <w:rsid w:val="582D0D24"/>
    <w:rsid w:val="590635B7"/>
    <w:rsid w:val="78575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ody Text"/>
    <w:basedOn w:val="1"/>
    <w:qFormat/>
    <w:uiPriority w:val="1"/>
    <w:pPr>
      <w:ind w:left="137"/>
    </w:pPr>
    <w:rPr>
      <w:rFonts w:ascii="宋体" w:hAnsi="宋体" w:eastAsia="宋体"/>
      <w:sz w:val="20"/>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4"/>
    <w:qFormat/>
    <w:uiPriority w:val="0"/>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21518</Words>
  <Characters>23360</Characters>
  <Lines>290</Lines>
  <Paragraphs>81</Paragraphs>
  <TotalTime>1</TotalTime>
  <ScaleCrop>false</ScaleCrop>
  <LinksUpToDate>false</LinksUpToDate>
  <CharactersWithSpaces>25459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2022-07-28T10:33:09Z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