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附录C</w:t>
      </w:r>
    </w:p>
    <w:p>
      <w:pPr>
        <w:spacing w:before="0" w:after="0" w:line="240" w:lineRule="auto"/>
        <w:ind w:left="0" w:right="0" w:firstLine="294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测量过程有效性确认记录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3"/>
        <w:gridCol w:w="271"/>
        <w:gridCol w:w="1297"/>
        <w:gridCol w:w="1221"/>
        <w:gridCol w:w="1506"/>
        <w:gridCol w:w="768"/>
        <w:gridCol w:w="599"/>
        <w:gridCol w:w="18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测量过程编号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绝缘接头绝缘套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测量过程规范编号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DQRA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所在部门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测量项目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内径测量 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控制程度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高度控制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测量过程要素概述：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测量设备：（0～150）mm游标卡尺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测量方法：采用直接测量法，首先保证游标卡尺处于正常工作状态。按照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TJ50/2.5-350-7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图纸要求，每次对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同一样品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重复测量不低于3次,读取被测量数据，并做好原始记录。用同一台游标卡尺至少每一月抽检2次，保存抽检原始记录，并绘制控制图，数据应稳定，符合计量要求。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环境条件： 常温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测量软件；无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操作者技能：测量设备使用操作人员，经培训合格，有两年以上经验,且取得操作上岗证.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其他影响量：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无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            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有效性确认记录: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1、用游标卡尺对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  <w:lang w:val="en-US" w:eastAsia="zh-CN"/>
              </w:rPr>
              <w:t>同一样品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进行测量，通过比对对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测量过程的有效性进行确认：</w:t>
            </w:r>
          </w:p>
          <w:p>
            <w:pPr>
              <w:spacing w:before="0" w:after="0" w:line="36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、检测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过程有效性进行确认：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月15日  用游标卡尺对实物进行5次检测，平均值为</w:t>
            </w:r>
            <w:r>
              <w:rPr>
                <w:color w:val="auto"/>
              </w:rPr>
              <w:object>
                <v:shape id="_x0000_i1025" o:spt="75" type="#_x0000_t75" style="height:19.2pt;width:15.15pt;" o:ole="t" filled="f" o:preferrelative="t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90.0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2)、202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日 用游标卡尺对实物进行5次检测，平均值为</w:t>
            </w:r>
            <w:r>
              <w:rPr>
                <w:color w:val="auto"/>
              </w:rPr>
              <w:object>
                <v:shape id="_x0000_i1026" o:spt="75" type="#_x0000_t75" style="height:19.2pt;width:16.15pt;" o:ole="t" filled="f" o:preferrelative="t" coordsize="21600,21600">
                  <v:path/>
                  <v:fill on="f" focussize="0,0"/>
                  <v:stroke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90.06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测量过程的扩展不确定度</w: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>U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k=2， </w:t>
            </w:r>
          </w:p>
          <w:p>
            <w:pPr>
              <w:spacing w:before="0" w:after="0" w:line="360" w:lineRule="auto"/>
              <w:ind w:left="0" w:right="0" w:firstLine="42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=|</w:t>
            </w:r>
            <w:r>
              <w:rPr>
                <w:color w:val="auto"/>
              </w:rPr>
              <w:object>
                <v:shape id="_x0000_i1027" o:spt="75" type="#_x0000_t75" style="height:29.35pt;width:31.35pt;" o:ole="t" fillcolor="#FFFFFF" filled="t" o:preferrelative="t" stroked="f" coordsize="21600,21600">
                  <v:path/>
                  <v:fill on="t" color2="#FFFFFF" focussize="0,0"/>
                  <v:stroke on="f"/>
                  <v:imagedata r:id="rId9" o:title=""/>
                  <o:lock v:ext="edit" aspectratio="f"/>
                  <w10:wrap type="none"/>
                  <w10:anchorlock/>
                </v:shape>
                <o:OLEObject Type="Embed" ProgID="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|  /</w:t>
            </w:r>
            <w:r>
              <w:rPr>
                <w:color w:val="auto"/>
              </w:rPr>
              <w:object>
                <v:shape id="_x0000_i1028" o:spt="75" type="#_x0000_t75" style="height:18.2pt;width:19.2pt;" o:ole="t" filled="f" o:preferrelative="t" coordsize="21600,21600">
                  <v:path/>
                  <v:fill on="f" focussize="0,0"/>
                  <v:stroke/>
                  <v:imagedata r:id="rId11" o:title=""/>
                  <o:lock v:ext="edit" aspectratio="t"/>
                  <w10:wrap type="none"/>
                  <w10:anchorlock/>
                </v:shape>
                <o:OLEObject Type="Embed" ProgID="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ascii="宋体" w:hAnsi="宋体" w:eastAsia="宋体" w:cs="宋体"/>
                <w:i/>
                <w:color w:val="auto"/>
                <w:spacing w:val="0"/>
                <w:position w:val="0"/>
                <w:sz w:val="21"/>
                <w:shd w:val="clear" w:fill="auto"/>
              </w:rPr>
              <w:t xml:space="preserve">U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E n=|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90.0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2-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90.06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|/（1.414* 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66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）=0.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&lt;1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E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  <w:vertAlign w:val="subscript"/>
              </w:rPr>
              <w:t xml:space="preserve"> n</w:t>
            </w:r>
            <w:r>
              <w:rPr>
                <w:rFonts w:ascii="Cambria Math" w:hAnsi="Cambria Math" w:eastAsia="Cambria Math" w:cs="Cambria Math"/>
                <w:color w:val="auto"/>
                <w:spacing w:val="0"/>
                <w:position w:val="0"/>
                <w:sz w:val="21"/>
                <w:shd w:val="clear" w:fill="auto"/>
              </w:rPr>
              <w:t>≤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该测量过程有效。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此过程测量数据的稳定，满足计量要求，此测量过程有效。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eastAsia="宋体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确认人员：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hint="default" w:eastAsiaTheme="minorEastAsia"/>
                <w:color w:val="auto"/>
                <w:lang w:val="en-US" w:eastAsia="zh-CN"/>
              </w:rPr>
              <w:drawing>
                <wp:inline distT="0" distB="0" distL="114300" distR="114300">
                  <wp:extent cx="559435" cy="252095"/>
                  <wp:effectExtent l="0" t="0" r="4445" b="6985"/>
                  <wp:docPr id="4" name="图片 4" descr="ab97f7b49a4257b021772780292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b97f7b49a4257b021772780292047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23587" t="46467" r="56071" b="46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                   日期：202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变更记录: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日期</w:t>
            </w: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变更内容</w:t>
            </w: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3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批准人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0446AA2"/>
    <w:rsid w:val="1E791836"/>
    <w:rsid w:val="2CC46360"/>
    <w:rsid w:val="54AB7D29"/>
    <w:rsid w:val="56E61820"/>
    <w:rsid w:val="5F1B05FE"/>
    <w:rsid w:val="5FFA0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480</Words>
  <Characters>585</Characters>
  <TotalTime>3</TotalTime>
  <ScaleCrop>false</ScaleCrop>
  <LinksUpToDate>false</LinksUpToDate>
  <CharactersWithSpaces>684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2021-06-27T06:11:00Z</dcterms:created>
  <dc:creator>A</dc:creator>
  <cp:lastModifiedBy>yingjie</cp:lastModifiedBy>
  <dcterms:modified xsi:type="dcterms:W3CDTF">2022-07-20T04:49:37Z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2AA9D30A84B844949C5CA21D46CB2BF6</vt:lpwstr>
  </property>
</Properties>
</file>