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5328"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851"/>
        <w:gridCol w:w="113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1" w:type="dxa"/>
            <w:vMerge w:val="restar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过程与活动、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抽样计划</w:t>
            </w:r>
          </w:p>
        </w:tc>
        <w:tc>
          <w:tcPr>
            <w:tcW w:w="851" w:type="dxa"/>
            <w:vMerge w:val="restar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涉及</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w:t>
            </w: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受审核部门：管理层    主管领导：Ken Ng（吴杰恒）        陪同人员：谢雪琴</w:t>
            </w:r>
          </w:p>
        </w:tc>
        <w:tc>
          <w:tcPr>
            <w:tcW w:w="1276" w:type="dxa"/>
            <w:vMerge w:val="restar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1" w:type="dxa"/>
            <w:vMerge w:val="continue"/>
            <w:vAlign w:val="center"/>
          </w:tcPr>
          <w:p>
            <w:pPr>
              <w:rPr>
                <w:rFonts w:ascii="宋体" w:hAnsi="宋体" w:cs="宋体"/>
                <w:color w:val="000000" w:themeColor="text1"/>
                <w:szCs w:val="21"/>
                <w14:textFill>
                  <w14:solidFill>
                    <w14:schemeClr w14:val="tx1"/>
                  </w14:solidFill>
                </w14:textFill>
              </w:rPr>
            </w:pPr>
          </w:p>
        </w:tc>
        <w:tc>
          <w:tcPr>
            <w:tcW w:w="851" w:type="dxa"/>
            <w:vMerge w:val="continue"/>
            <w:vAlign w:val="center"/>
          </w:tcPr>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审核员： 邝柏</w:t>
            </w:r>
            <w:r>
              <w:rPr>
                <w:rFonts w:ascii="宋体" w:hAnsi="宋体" w:cs="宋体"/>
                <w:color w:val="000000" w:themeColor="text1"/>
                <w:szCs w:val="21"/>
                <w14:textFill>
                  <w14:solidFill>
                    <w14:schemeClr w14:val="tx1"/>
                  </w14:solidFill>
                </w14:textFill>
              </w:rPr>
              <w:t>臣</w:t>
            </w:r>
            <w:r>
              <w:rPr>
                <w:rFonts w:hint="eastAsia" w:ascii="宋体" w:hAnsi="宋体" w:cs="宋体"/>
                <w:color w:val="000000" w:themeColor="text1"/>
                <w:szCs w:val="21"/>
                <w14:textFill>
                  <w14:solidFill>
                    <w14:schemeClr w14:val="tx1"/>
                  </w14:solidFill>
                </w14:textFill>
              </w:rPr>
              <w:t xml:space="preserve"> 罗芳（实习Q ）           审核时间：2022年8月17日 </w:t>
            </w:r>
          </w:p>
        </w:tc>
        <w:tc>
          <w:tcPr>
            <w:tcW w:w="1276" w:type="dxa"/>
            <w:vMerge w:val="continue"/>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1" w:type="dxa"/>
            <w:vMerge w:val="continue"/>
            <w:vAlign w:val="center"/>
          </w:tcPr>
          <w:p>
            <w:pPr>
              <w:rPr>
                <w:rFonts w:ascii="宋体" w:hAnsi="宋体" w:cs="宋体"/>
                <w:color w:val="000000" w:themeColor="text1"/>
                <w:szCs w:val="21"/>
                <w14:textFill>
                  <w14:solidFill>
                    <w14:schemeClr w14:val="tx1"/>
                  </w14:solidFill>
                </w14:textFill>
              </w:rPr>
            </w:pPr>
          </w:p>
        </w:tc>
        <w:tc>
          <w:tcPr>
            <w:tcW w:w="851" w:type="dxa"/>
            <w:vMerge w:val="continue"/>
            <w:vAlign w:val="center"/>
          </w:tcPr>
          <w:p>
            <w:pPr>
              <w:rPr>
                <w:rFonts w:ascii="宋体" w:hAnsi="宋体" w:cs="宋体"/>
                <w:color w:val="000000" w:themeColor="text1"/>
                <w:szCs w:val="21"/>
                <w14:textFill>
                  <w14:solidFill>
                    <w14:schemeClr w14:val="tx1"/>
                  </w14:solidFill>
                </w14:textFill>
              </w:rPr>
            </w:pPr>
          </w:p>
        </w:tc>
        <w:tc>
          <w:tcPr>
            <w:tcW w:w="11340" w:type="dxa"/>
            <w:vAlign w:val="center"/>
          </w:tcPr>
          <w:p>
            <w:pPr>
              <w:snapToGrid w:val="0"/>
              <w:spacing w:line="320" w:lineRule="exact"/>
              <w:rPr>
                <w:rFonts w:ascii="宋体" w:hAnsi="宋体"/>
                <w:b/>
                <w:bCs/>
                <w:szCs w:val="21"/>
              </w:rPr>
            </w:pPr>
            <w:r>
              <w:rPr>
                <w:rFonts w:hint="eastAsia" w:ascii="宋体" w:hAnsi="宋体" w:cs="宋体"/>
                <w:color w:val="000000" w:themeColor="text1"/>
                <w:szCs w:val="21"/>
                <w14:textFill>
                  <w14:solidFill>
                    <w14:schemeClr w14:val="tx1"/>
                  </w14:solidFill>
                </w14:textFill>
              </w:rPr>
              <w:t>审核条款：</w:t>
            </w:r>
            <w:r>
              <w:rPr>
                <w:rFonts w:hint="eastAsia" w:ascii="宋体" w:hAnsi="宋体"/>
                <w:b/>
                <w:bCs/>
                <w:szCs w:val="21"/>
              </w:rPr>
              <w:t>Q:4.1/4.2/4.3/4.4/5.1/5.2/5.3/6.1/6.2/6.3/7.1.1</w:t>
            </w:r>
            <w:bookmarkStart w:id="4" w:name="_GoBack"/>
            <w:bookmarkEnd w:id="4"/>
            <w:r>
              <w:rPr>
                <w:rFonts w:hint="eastAsia" w:ascii="宋体" w:hAnsi="宋体"/>
                <w:b/>
                <w:bCs/>
                <w:szCs w:val="21"/>
              </w:rPr>
              <w:t xml:space="preserve">/9.3/10.1/10.3 </w:t>
            </w:r>
          </w:p>
          <w:p>
            <w:pPr>
              <w:rPr>
                <w:rFonts w:ascii="宋体" w:hAnsi="宋体" w:cs="宋体"/>
                <w:color w:val="000000" w:themeColor="text1"/>
                <w:szCs w:val="21"/>
                <w14:textFill>
                  <w14:solidFill>
                    <w14:schemeClr w14:val="tx1"/>
                  </w14:solidFill>
                </w14:textFill>
              </w:rPr>
            </w:pPr>
            <w:r>
              <w:rPr>
                <w:rFonts w:hint="eastAsia" w:ascii="宋体" w:hAnsi="宋体"/>
                <w:b/>
                <w:bCs/>
                <w:szCs w:val="21"/>
              </w:rPr>
              <w:t>资质验证/范围再确认/上次审核问题验证/投诉或事故/政府主管部门监督抽查情况</w:t>
            </w:r>
          </w:p>
        </w:tc>
        <w:tc>
          <w:tcPr>
            <w:tcW w:w="1276" w:type="dxa"/>
            <w:vMerge w:val="continue"/>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61" w:type="dxa"/>
          </w:tcPr>
          <w:p>
            <w:pPr>
              <w:rPr>
                <w:szCs w:val="21"/>
              </w:rPr>
            </w:pPr>
            <w:r>
              <w:rPr>
                <w:rFonts w:hint="eastAsia"/>
                <w:szCs w:val="21"/>
              </w:rPr>
              <w:t>组织及其环境</w:t>
            </w:r>
          </w:p>
          <w:p>
            <w:pPr>
              <w:rPr>
                <w:rFonts w:ascii="宋体" w:hAnsi="宋体" w:cs="宋体"/>
                <w:color w:val="000000" w:themeColor="text1"/>
                <w:szCs w:val="21"/>
                <w14:textFill>
                  <w14:solidFill>
                    <w14:schemeClr w14:val="tx1"/>
                  </w14:solidFill>
                </w14:textFill>
              </w:rPr>
            </w:pPr>
            <w:r>
              <w:rPr>
                <w:rFonts w:hint="eastAsia"/>
                <w:szCs w:val="21"/>
              </w:rPr>
              <w:t>风险与机遇控制</w:t>
            </w:r>
          </w:p>
        </w:tc>
        <w:tc>
          <w:tcPr>
            <w:tcW w:w="851" w:type="dxa"/>
          </w:tcPr>
          <w:p>
            <w:pPr>
              <w:rPr>
                <w:szCs w:val="21"/>
              </w:rPr>
            </w:pPr>
            <w:r>
              <w:rPr>
                <w:szCs w:val="21"/>
              </w:rPr>
              <w:t>Q4.1</w:t>
            </w:r>
          </w:p>
          <w:p>
            <w:pPr>
              <w:rPr>
                <w:rFonts w:ascii="宋体" w:hAnsi="宋体" w:cs="宋体"/>
                <w:color w:val="000000" w:themeColor="text1"/>
                <w:szCs w:val="21"/>
                <w14:textFill>
                  <w14:solidFill>
                    <w14:schemeClr w14:val="tx1"/>
                  </w14:solidFill>
                </w14:textFill>
              </w:rPr>
            </w:pPr>
            <w:r>
              <w:rPr>
                <w:szCs w:val="21"/>
              </w:rPr>
              <w:t>Q</w:t>
            </w:r>
            <w:r>
              <w:rPr>
                <w:rFonts w:hint="eastAsia"/>
                <w:szCs w:val="21"/>
              </w:rPr>
              <w:t>6.1</w:t>
            </w:r>
            <w:r>
              <w:rPr>
                <w:rFonts w:hint="eastAsia" w:ascii="宋体" w:hAnsi="宋体" w:cs="宋体"/>
                <w:color w:val="000000" w:themeColor="text1"/>
                <w:szCs w:val="21"/>
                <w14:textFill>
                  <w14:solidFill>
                    <w14:schemeClr w14:val="tx1"/>
                  </w14:solidFill>
                </w14:textFill>
              </w:rPr>
              <w:t xml:space="preserve"> </w:t>
            </w:r>
          </w:p>
        </w:tc>
        <w:tc>
          <w:tcPr>
            <w:tcW w:w="11340" w:type="dxa"/>
            <w:vAlign w:val="center"/>
          </w:tcPr>
          <w:p>
            <w:r>
              <w:rPr>
                <w:rFonts w:hint="eastAsia"/>
              </w:rPr>
              <w:t>该公司2011年4月注册，法人：</w:t>
            </w:r>
            <w:bookmarkStart w:id="0" w:name="OLE_LINK2"/>
            <w:r>
              <w:rPr>
                <w:rFonts w:hint="eastAsia"/>
              </w:rPr>
              <w:t>GIJSBERTUS ADRIANUS ANDREAS LATHOUWERS</w:t>
            </w:r>
            <w:bookmarkEnd w:id="0"/>
            <w:r>
              <w:rPr>
                <w:rFonts w:hint="eastAsia"/>
              </w:rPr>
              <w:t>，总经理：GIJSBERTUS ADRIANUS ANDREAS LATHOUWERS。</w:t>
            </w:r>
          </w:p>
          <w:p>
            <w:r>
              <w:rPr>
                <w:rFonts w:hint="eastAsia"/>
              </w:rPr>
              <w:t>注册地址：珠海市金湾区三灶镇华荣路1号；</w:t>
            </w:r>
          </w:p>
          <w:p>
            <w:r>
              <w:rPr>
                <w:rFonts w:hint="eastAsia"/>
              </w:rPr>
              <w:t>生产经营地址：珠海市金湾区三灶镇华荣路1号；</w:t>
            </w:r>
          </w:p>
          <w:p>
            <w:r>
              <w:rPr>
                <w:rFonts w:hint="eastAsia"/>
              </w:rPr>
              <w:t>营业执照符合要求，见附件。</w:t>
            </w:r>
          </w:p>
          <w:p>
            <w:r>
              <w:rPr>
                <w:rFonts w:hint="eastAsia"/>
              </w:rPr>
              <w:t>认证范围为：</w:t>
            </w:r>
          </w:p>
          <w:p>
            <w:pPr>
              <w:rPr>
                <w:rFonts w:asciiTheme="minorEastAsia" w:hAnsiTheme="minorEastAsia" w:eastAsiaTheme="minorEastAsia"/>
                <w:szCs w:val="21"/>
              </w:rPr>
            </w:pPr>
            <w:bookmarkStart w:id="1" w:name="审核范围"/>
            <w:r>
              <w:rPr>
                <w:rFonts w:asciiTheme="minorEastAsia" w:hAnsiTheme="minorEastAsia" w:eastAsiaTheme="minorEastAsia"/>
                <w:szCs w:val="21"/>
              </w:rPr>
              <w:t>Q：家居产品（垃圾桶、储物盒、垃圾袋、烫衣板、加热器、晒衣架、不锈钢盖、马桶刷、卷纸座、皂液器）的生产</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E：家居产品（垃圾桶、储物盒、垃圾袋、烫衣板、加热器、晒衣架、不锈钢盖、马桶刷、卷纸座、皂液器）的生产所涉及场所的相关环境管理活动</w:t>
            </w:r>
            <w:bookmarkEnd w:id="1"/>
            <w:r>
              <w:rPr>
                <w:rFonts w:hint="eastAsia" w:asciiTheme="minorEastAsia" w:hAnsiTheme="minorEastAsia" w:eastAsiaTheme="minorEastAsia"/>
                <w:szCs w:val="21"/>
              </w:rPr>
              <w:t>.</w:t>
            </w:r>
          </w:p>
          <w:p>
            <w:r>
              <w:rPr>
                <w:rFonts w:hint="eastAsia"/>
              </w:rPr>
              <w:t xml:space="preserve"> </w:t>
            </w:r>
          </w:p>
          <w:p>
            <w:r>
              <w:rPr>
                <w:rFonts w:hint="eastAsia"/>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p>
            <w:pPr>
              <w:rPr>
                <w:szCs w:val="21"/>
              </w:rPr>
            </w:pPr>
            <w:r>
              <w:rPr>
                <w:rFonts w:hint="eastAsia"/>
                <w:szCs w:val="21"/>
              </w:rPr>
              <w:t>提供风险和机遇应对措施表：</w:t>
            </w:r>
          </w:p>
          <w:p>
            <w:pPr>
              <w:rPr>
                <w:szCs w:val="21"/>
              </w:rPr>
            </w:pPr>
            <w:r>
              <w:rPr>
                <w:rFonts w:hint="eastAsia"/>
                <w:szCs w:val="21"/>
              </w:rPr>
              <w:t>风险：本区域同行多竞争压力大。</w:t>
            </w:r>
          </w:p>
          <w:p>
            <w:pPr>
              <w:rPr>
                <w:szCs w:val="21"/>
              </w:rPr>
            </w:pPr>
            <w:r>
              <w:rPr>
                <w:rFonts w:hint="eastAsia"/>
                <w:szCs w:val="21"/>
              </w:rPr>
              <w:t>机遇：内部推行精益生产，加强客户服务</w:t>
            </w:r>
          </w:p>
          <w:p>
            <w:pPr>
              <w:rPr>
                <w:szCs w:val="21"/>
              </w:rPr>
            </w:pPr>
            <w:r>
              <w:rPr>
                <w:rFonts w:hint="eastAsia"/>
                <w:szCs w:val="21"/>
              </w:rPr>
              <w:t>风险：大同行价</w:t>
            </w:r>
            <w:r>
              <w:rPr>
                <w:szCs w:val="21"/>
              </w:rPr>
              <w:t>格低于</w:t>
            </w:r>
            <w:r>
              <w:rPr>
                <w:rFonts w:hint="eastAsia"/>
                <w:szCs w:val="21"/>
              </w:rPr>
              <w:t>企业</w:t>
            </w:r>
            <w:r>
              <w:rPr>
                <w:szCs w:val="21"/>
              </w:rPr>
              <w:t>自身价格</w:t>
            </w:r>
            <w:r>
              <w:rPr>
                <w:rFonts w:hint="eastAsia"/>
                <w:szCs w:val="21"/>
              </w:rPr>
              <w:t>，</w:t>
            </w:r>
            <w:r>
              <w:rPr>
                <w:szCs w:val="21"/>
              </w:rPr>
              <w:t>没有竞争优势</w:t>
            </w:r>
            <w:r>
              <w:rPr>
                <w:rFonts w:hint="eastAsia"/>
                <w:szCs w:val="21"/>
              </w:rPr>
              <w:t>;</w:t>
            </w:r>
            <w:r>
              <w:rPr>
                <w:rFonts w:hint="eastAsia"/>
              </w:rPr>
              <w:t xml:space="preserve"> </w:t>
            </w:r>
            <w:r>
              <w:rPr>
                <w:rFonts w:hint="eastAsia"/>
                <w:szCs w:val="21"/>
              </w:rPr>
              <w:t>员工年龄大，文化水平低，但经验丰富;</w:t>
            </w:r>
          </w:p>
          <w:p>
            <w:pPr>
              <w:rPr>
                <w:szCs w:val="21"/>
              </w:rPr>
            </w:pPr>
            <w:r>
              <w:rPr>
                <w:rFonts w:hint="eastAsia"/>
                <w:szCs w:val="21"/>
              </w:rPr>
              <w:t>机遇：市场</w:t>
            </w:r>
            <w:r>
              <w:rPr>
                <w:szCs w:val="21"/>
              </w:rPr>
              <w:t>稳定，主要客户在欧州区域，需求</w:t>
            </w:r>
            <w:r>
              <w:rPr>
                <w:rFonts w:hint="eastAsia"/>
                <w:szCs w:val="21"/>
              </w:rPr>
              <w:t>相</w:t>
            </w:r>
            <w:r>
              <w:rPr>
                <w:szCs w:val="21"/>
              </w:rPr>
              <w:t>对较</w:t>
            </w:r>
            <w:r>
              <w:rPr>
                <w:rFonts w:hint="eastAsia"/>
                <w:szCs w:val="21"/>
              </w:rPr>
              <w:t>稳</w:t>
            </w:r>
            <w:r>
              <w:rPr>
                <w:szCs w:val="21"/>
              </w:rPr>
              <w:t>。</w:t>
            </w:r>
          </w:p>
          <w:p>
            <w:pPr>
              <w:rPr>
                <w:szCs w:val="21"/>
              </w:rPr>
            </w:pPr>
          </w:p>
          <w:p>
            <w:pPr>
              <w:rPr>
                <w:szCs w:val="21"/>
              </w:rPr>
            </w:pPr>
            <w:r>
              <w:rPr>
                <w:rFonts w:hint="eastAsia"/>
                <w:szCs w:val="21"/>
              </w:rPr>
              <w:t>措施：</w:t>
            </w:r>
          </w:p>
          <w:p>
            <w:r>
              <w:rPr>
                <w:rFonts w:hint="eastAsia"/>
              </w:rPr>
              <w:t xml:space="preserve">1.导入更多自动化生产设备，降低生产成本; </w:t>
            </w:r>
          </w:p>
          <w:p>
            <w:r>
              <w:rPr>
                <w:rFonts w:hint="eastAsia"/>
              </w:rPr>
              <w:t>2.加强员工培训，提高员工技能</w:t>
            </w:r>
          </w:p>
          <w:p>
            <w:pPr>
              <w:rPr>
                <w:szCs w:val="21"/>
              </w:rPr>
            </w:pPr>
            <w:r>
              <w:rPr>
                <w:rFonts w:hint="eastAsia"/>
                <w:szCs w:val="21"/>
              </w:rPr>
              <w:t>对公司影响较大的大宗原材料做好年度采购计划</w:t>
            </w:r>
          </w:p>
          <w:p>
            <w:r>
              <w:rPr>
                <w:rFonts w:hint="eastAsia"/>
                <w:szCs w:val="21"/>
              </w:rPr>
              <w:t>风险与机遇识别基本充分，有效。</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cs="宋体"/>
                <w:color w:val="000000" w:themeColor="text1"/>
                <w:szCs w:val="21"/>
                <w14:textFill>
                  <w14:solidFill>
                    <w14:schemeClr w14:val="tx1"/>
                  </w14:solidFill>
                </w14:textFill>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61" w:type="dxa"/>
          </w:tcPr>
          <w:p>
            <w:pPr>
              <w:rPr>
                <w:rFonts w:ascii="宋体" w:hAnsi="宋体" w:cs="宋体"/>
                <w:color w:val="000000" w:themeColor="text1"/>
                <w:szCs w:val="21"/>
                <w14:textFill>
                  <w14:solidFill>
                    <w14:schemeClr w14:val="tx1"/>
                  </w14:solidFill>
                </w14:textFill>
              </w:rPr>
            </w:pPr>
            <w:r>
              <w:rPr>
                <w:rFonts w:hint="eastAsia"/>
                <w:szCs w:val="21"/>
              </w:rPr>
              <w:t>相关方的需求和期望</w:t>
            </w: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Q4.2</w:t>
            </w:r>
          </w:p>
          <w:p>
            <w:pPr>
              <w:rPr>
                <w:rFonts w:ascii="宋体" w:hAnsi="宋体" w:cs="宋体"/>
                <w:color w:val="000000" w:themeColor="text1"/>
                <w:szCs w:val="21"/>
                <w14:textFill>
                  <w14:solidFill>
                    <w14:schemeClr w14:val="tx1"/>
                  </w14:solidFill>
                </w14:textFill>
              </w:rPr>
            </w:pPr>
          </w:p>
        </w:tc>
        <w:tc>
          <w:tcPr>
            <w:tcW w:w="11340" w:type="dxa"/>
            <w:vAlign w:val="center"/>
          </w:tcPr>
          <w:p>
            <w:pPr>
              <w:rPr>
                <w:szCs w:val="21"/>
                <w:u w:val="single"/>
              </w:rPr>
            </w:pPr>
            <w:r>
              <w:rPr>
                <w:rFonts w:hint="eastAsia"/>
                <w:szCs w:val="21"/>
              </w:rPr>
              <w:t>企业明确了影响企业绩效或受到企业经营影响的相关：如客户、外部供方、员工等，通过调查、访谈了解相关方的需求和期望。通过回访、网站等渠道获取相关方的信息，并持续与相关方沟通，了解相关方要求。</w:t>
            </w:r>
          </w:p>
          <w:p>
            <w:pPr>
              <w:rPr>
                <w:szCs w:val="21"/>
              </w:rPr>
            </w:pPr>
            <w:r>
              <w:rPr>
                <w:rFonts w:hint="eastAsia"/>
                <w:szCs w:val="21"/>
              </w:rPr>
              <w:t>提供相关方列表：</w:t>
            </w:r>
          </w:p>
          <w:p>
            <w:pPr>
              <w:rPr>
                <w:szCs w:val="21"/>
              </w:rPr>
            </w:pPr>
            <w:r>
              <w:rPr>
                <w:rFonts w:hint="eastAsia"/>
                <w:szCs w:val="21"/>
              </w:rPr>
              <w:t>客户需求：</w:t>
            </w:r>
          </w:p>
          <w:p>
            <w:pPr>
              <w:rPr>
                <w:szCs w:val="21"/>
              </w:rPr>
            </w:pPr>
            <w:r>
              <w:rPr>
                <w:rFonts w:hint="eastAsia"/>
                <w:szCs w:val="21"/>
              </w:rPr>
              <w:t>提供的产品和服务满足约定要求，提供高质量、价格适宜的产品和及时、高满意的售后服务（措施：1、建立实施和保持管理体系，保证产品和服务质量2、充分识别顾客/最终消费者的要求，增强顾客满意度3、监视顾客感受，增强售后服务，及时解决顾客问题反馈4、提高效率，降低成本，为顾客提供高质、低价和安全的产品5、提高企业质量风险意识，增强企业的产品和服务抗风险能力）</w:t>
            </w:r>
          </w:p>
          <w:p>
            <w:pPr>
              <w:rPr>
                <w:szCs w:val="21"/>
              </w:rPr>
            </w:pPr>
            <w:r>
              <w:rPr>
                <w:rFonts w:hint="eastAsia"/>
                <w:szCs w:val="21"/>
              </w:rPr>
              <w:t>员工：稳定增长的收入和福利、职业 成长、良好的工作环境场所（措施：1、加强员工技能培训，建立良好的激励机制和晋升机制2、建立良好企业文化和公司氛围，注重环境管理，提升员工的归属感，保障员工的合法权益）</w:t>
            </w:r>
          </w:p>
          <w:p>
            <w:pPr>
              <w:rPr>
                <w:rFonts w:ascii="宋体" w:hAnsi="宋体" w:cs="宋体"/>
                <w:color w:val="000000" w:themeColor="text1"/>
                <w:szCs w:val="21"/>
                <w14:textFill>
                  <w14:solidFill>
                    <w14:schemeClr w14:val="tx1"/>
                  </w14:solidFill>
                </w14:textFill>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cs="宋体"/>
                <w:color w:val="000000" w:themeColor="text1"/>
                <w:szCs w:val="21"/>
                <w14:textFill>
                  <w14:solidFill>
                    <w14:schemeClr w14:val="tx1"/>
                  </w14:solidFill>
                </w14:textFill>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861" w:type="dxa"/>
          </w:tcPr>
          <w:p>
            <w:pPr>
              <w:rPr>
                <w:rFonts w:ascii="宋体" w:hAnsi="宋体" w:cs="宋体"/>
                <w:color w:val="000000" w:themeColor="text1"/>
                <w:szCs w:val="21"/>
                <w14:textFill>
                  <w14:solidFill>
                    <w14:schemeClr w14:val="tx1"/>
                  </w14:solidFill>
                </w14:textFill>
              </w:rPr>
            </w:pPr>
            <w:r>
              <w:rPr>
                <w:rFonts w:hint="eastAsia"/>
                <w:szCs w:val="21"/>
              </w:rPr>
              <w:t>质量管理体系的范围</w:t>
            </w: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Q4.3</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1340" w:type="dxa"/>
            <w:vAlign w:val="center"/>
          </w:tcPr>
          <w:p>
            <w:pPr>
              <w:rPr>
                <w:szCs w:val="21"/>
              </w:rPr>
            </w:pPr>
            <w:r>
              <w:rPr>
                <w:rFonts w:hint="eastAsia"/>
                <w:szCs w:val="21"/>
              </w:rPr>
              <w:t>公司按照标准要求编写了体系文件，于2019年3月01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bookmarkStart w:id="2" w:name="组织名称"/>
            <w:r>
              <w:rPr>
                <w:rFonts w:ascii="宋体" w:hAnsi="宋体"/>
                <w:szCs w:val="21"/>
              </w:rPr>
              <w:t>珠海市金湾区三灶镇华荣路1号</w:t>
            </w:r>
            <w:r>
              <w:rPr>
                <w:rFonts w:hint="eastAsia" w:ascii="宋体" w:hAnsi="宋体"/>
                <w:szCs w:val="21"/>
              </w:rPr>
              <w:t xml:space="preserve">的 </w:t>
            </w:r>
            <w:bookmarkEnd w:id="2"/>
            <w:r>
              <w:rPr>
                <w:rFonts w:ascii="宋体" w:hAnsi="宋体"/>
                <w:szCs w:val="21"/>
              </w:rPr>
              <w:t>青木家居用品(珠海)有限公司</w:t>
            </w:r>
            <w:r>
              <w:rPr>
                <w:rFonts w:hint="eastAsia"/>
                <w:color w:val="000000"/>
                <w:szCs w:val="21"/>
              </w:rPr>
              <w:t>项目地</w:t>
            </w:r>
          </w:p>
          <w:p>
            <w:pPr>
              <w:rPr>
                <w:rFonts w:ascii="宋体" w:hAnsi="宋体"/>
                <w:szCs w:val="21"/>
              </w:rPr>
            </w:pPr>
            <w:r>
              <w:rPr>
                <w:rFonts w:hint="eastAsia"/>
                <w:szCs w:val="21"/>
              </w:rPr>
              <w:t>注册地址：</w:t>
            </w:r>
            <w:bookmarkStart w:id="3" w:name="注册地址"/>
            <w:r>
              <w:rPr>
                <w:rFonts w:ascii="宋体" w:hAnsi="宋体"/>
                <w:szCs w:val="21"/>
              </w:rPr>
              <w:t>珠海市金湾区三灶镇华荣路1号</w:t>
            </w:r>
            <w:bookmarkEnd w:id="3"/>
          </w:p>
          <w:p>
            <w:pPr>
              <w:spacing w:line="0" w:lineRule="atLeast"/>
              <w:jc w:val="left"/>
              <w:rPr>
                <w:szCs w:val="21"/>
              </w:rPr>
            </w:pPr>
            <w:r>
              <w:rPr>
                <w:rFonts w:hint="eastAsia"/>
                <w:szCs w:val="21"/>
              </w:rPr>
              <w:t>范围：</w:t>
            </w:r>
            <w:r>
              <w:rPr>
                <w:rFonts w:hint="eastAsia" w:ascii="宋体" w:hAnsi="宋体"/>
              </w:rPr>
              <w:t>Q：家居产品（垃圾桶、储物盒、垃圾袋、烫衣板、加热器、晒衣架、不锈钢盖、马桶刷、卷纸座、皂液器）的生产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不适用情况：质量管理体系8.3条款不适用。</w:t>
            </w:r>
          </w:p>
          <w:p>
            <w:pPr>
              <w:rPr>
                <w:rFonts w:ascii="宋体" w:hAnsi="宋体" w:cs="宋体"/>
                <w:color w:val="000000" w:themeColor="text1"/>
                <w:szCs w:val="21"/>
                <w14:textFill>
                  <w14:solidFill>
                    <w14:schemeClr w14:val="tx1"/>
                  </w14:solidFill>
                </w14:textFill>
              </w:rPr>
            </w:pPr>
            <w:r>
              <w:rPr>
                <w:rFonts w:hint="eastAsia"/>
                <w:szCs w:val="21"/>
              </w:rPr>
              <w:t>不适用条款：8.3  活动均按照国家或行业的相关规定及顾客要求实施。服务模式固定，确定本公司不涉及产品和服务的设计和开发，故对标准中的8.3条款的内容不适用。不适用后不影响组织提供满足顾客要求和适用法律法规要求的产品的能力或责任</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外包情况：物流运输过程。（由</w:t>
            </w:r>
            <w:r>
              <w:rPr>
                <w:rFonts w:ascii="宋体" w:hAnsi="宋体" w:cs="宋体"/>
                <w:color w:val="000000" w:themeColor="text1"/>
                <w:szCs w:val="21"/>
                <w14:textFill>
                  <w14:solidFill>
                    <w14:schemeClr w14:val="tx1"/>
                  </w14:solidFill>
                </w14:textFill>
              </w:rPr>
              <w:t>珠</w:t>
            </w:r>
            <w:r>
              <w:rPr>
                <w:rFonts w:hint="eastAsia" w:ascii="宋体" w:hAnsi="宋体" w:cs="宋体"/>
                <w:color w:val="000000" w:themeColor="text1"/>
                <w:szCs w:val="21"/>
                <w14:textFill>
                  <w14:solidFill>
                    <w14:schemeClr w14:val="tx1"/>
                  </w14:solidFill>
                </w14:textFill>
              </w:rPr>
              <w:t>海胜通运</w:t>
            </w:r>
            <w:r>
              <w:rPr>
                <w:rFonts w:ascii="宋体" w:hAnsi="宋体" w:cs="宋体"/>
                <w:color w:val="000000" w:themeColor="text1"/>
                <w:szCs w:val="21"/>
                <w14:textFill>
                  <w14:solidFill>
                    <w14:schemeClr w14:val="tx1"/>
                  </w14:solidFill>
                </w14:textFill>
              </w:rPr>
              <w:t>输有限</w:t>
            </w:r>
            <w:r>
              <w:rPr>
                <w:rFonts w:hint="eastAsia" w:ascii="宋体" w:hAnsi="宋体" w:cs="宋体"/>
                <w:color w:val="000000" w:themeColor="text1"/>
                <w:szCs w:val="21"/>
                <w14:textFill>
                  <w14:solidFill>
                    <w14:schemeClr w14:val="tx1"/>
                  </w14:solidFill>
                </w14:textFill>
              </w:rPr>
              <w:t>公</w:t>
            </w:r>
            <w:r>
              <w:rPr>
                <w:rFonts w:ascii="宋体" w:hAnsi="宋体" w:cs="宋体"/>
                <w:color w:val="000000" w:themeColor="text1"/>
                <w:szCs w:val="21"/>
                <w14:textFill>
                  <w14:solidFill>
                    <w14:schemeClr w14:val="tx1"/>
                  </w14:solidFill>
                </w14:textFill>
              </w:rPr>
              <w:t>司</w:t>
            </w:r>
            <w:r>
              <w:rPr>
                <w:rFonts w:hint="eastAsia" w:ascii="宋体" w:hAnsi="宋体" w:cs="宋体"/>
                <w:color w:val="000000" w:themeColor="text1"/>
                <w:szCs w:val="21"/>
                <w14:textFill>
                  <w14:solidFill>
                    <w14:schemeClr w14:val="tx1"/>
                  </w14:solidFill>
                </w14:textFill>
              </w:rPr>
              <w:t>承</w:t>
            </w:r>
            <w:r>
              <w:rPr>
                <w:rFonts w:ascii="宋体" w:hAnsi="宋体" w:cs="宋体"/>
                <w:color w:val="000000" w:themeColor="text1"/>
                <w:szCs w:val="21"/>
                <w14:textFill>
                  <w14:solidFill>
                    <w14:schemeClr w14:val="tx1"/>
                  </w14:solidFill>
                </w14:textFill>
              </w:rPr>
              <w:t>包</w:t>
            </w:r>
            <w:r>
              <w:rPr>
                <w:rFonts w:hint="eastAsia" w:ascii="宋体" w:hAnsi="宋体" w:cs="宋体"/>
                <w:color w:val="000000" w:themeColor="text1"/>
                <w:szCs w:val="21"/>
                <w14:textFill>
                  <w14:solidFill>
                    <w14:schemeClr w14:val="tx1"/>
                  </w14:solidFill>
                </w14:textFill>
              </w:rPr>
              <w:t>运</w:t>
            </w:r>
            <w:r>
              <w:rPr>
                <w:rFonts w:ascii="宋体" w:hAnsi="宋体" w:cs="宋体"/>
                <w:color w:val="000000" w:themeColor="text1"/>
                <w:szCs w:val="21"/>
                <w14:textFill>
                  <w14:solidFill>
                    <w14:schemeClr w14:val="tx1"/>
                  </w14:solidFill>
                </w14:textFill>
              </w:rPr>
              <w:t>输</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14:textFill>
                  <w14:solidFill>
                    <w14:schemeClr w14:val="tx1"/>
                  </w14:solidFill>
                </w14:textFill>
              </w:rPr>
              <w:t>有运</w:t>
            </w:r>
            <w:r>
              <w:rPr>
                <w:rFonts w:ascii="宋体" w:hAnsi="宋体" w:cs="宋体"/>
                <w:color w:val="000000" w:themeColor="text1"/>
                <w:szCs w:val="21"/>
                <w14:textFill>
                  <w14:solidFill>
                    <w14:schemeClr w14:val="tx1"/>
                  </w14:solidFill>
                </w14:textFill>
              </w:rPr>
              <w:t>输</w:t>
            </w:r>
            <w:r>
              <w:rPr>
                <w:rFonts w:hint="eastAsia" w:ascii="宋体" w:hAnsi="宋体" w:cs="宋体"/>
                <w:color w:val="000000" w:themeColor="text1"/>
                <w:szCs w:val="21"/>
                <w14:textFill>
                  <w14:solidFill>
                    <w14:schemeClr w14:val="tx1"/>
                  </w14:solidFill>
                </w14:textFill>
              </w:rPr>
              <w:t>合同， 符合</w:t>
            </w:r>
            <w:r>
              <w:rPr>
                <w:rFonts w:ascii="宋体" w:hAnsi="宋体" w:cs="宋体"/>
                <w:color w:val="000000" w:themeColor="text1"/>
                <w:szCs w:val="21"/>
                <w14:textFill>
                  <w14:solidFill>
                    <w14:schemeClr w14:val="tx1"/>
                  </w14:solidFill>
                </w14:textFill>
              </w:rPr>
              <w:t>要求）</w:t>
            </w:r>
          </w:p>
          <w:p>
            <w:pPr>
              <w:pStyle w:val="2"/>
            </w:pPr>
            <w:r>
              <w:rPr>
                <w:rFonts w:hint="eastAsia"/>
              </w:rPr>
              <w:t xml:space="preserve"> </w:t>
            </w:r>
          </w:p>
          <w:p>
            <w:pPr>
              <w:pStyle w:val="2"/>
            </w:pP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cs="宋体"/>
                <w:color w:val="000000" w:themeColor="text1"/>
                <w:szCs w:val="21"/>
                <w14:textFill>
                  <w14:solidFill>
                    <w14:schemeClr w14:val="tx1"/>
                  </w14:solidFill>
                </w14:textFill>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管理体系及其过程</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Q4.4</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公司按照 GB/T19001-2016 和 GB/T24001-2016 标准的要求识别了质量/环境管理体系所需的过程及相互作用，识别了质量和环境管理体系涉及的各个过程：</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a) 确定这些过程所需的输入和期望的输出；</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b) 确定这些过程的顺序和相互作用；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c) 建立了程序文件、管理制度、检验规范等明确了各个过程所需的准则和方法，并明确了目标。</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d) 规定了每个过程所需的资源；</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e) 规定与这些过程相关的责任和权限；</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f) 针对这些过程识别和确定了管理活动的风险、机会以及所需的措施；</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 对这些过程进行了评价，暂无所需的变更；</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 公司通过绩效评价、内部审核、管理评审等以期对质量/环境管理体系得到改进。</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按照标准建立了文件化的质量/环境管理体系，编制了质量／环境管理手册，流程性文件、管理制度等；并对各个过程的监控进行了记录，形成了相关文件化信息，为过程运行提供了支持，以证实过程按照策划执行。</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cs="宋体"/>
                <w:color w:val="000000" w:themeColor="text1"/>
                <w:szCs w:val="21"/>
                <w14:textFill>
                  <w14:solidFill>
                    <w14:schemeClr w14:val="tx1"/>
                  </w14:solidFill>
                </w14:textFill>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领导作用与承诺</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--总则</w:t>
            </w: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5.1 </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公司领导层主要承诺有：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1)对管理体系的有效性要承担责任；</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2)建立公司的管理方针和目标并确保与公司的环境相适应，与公司战略方向保持一致以及方针在公司内得到沟通理解和有效实施；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3）确保管理体系要求融入公司的生产、销售各过程。</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4）促进使用过程方法和机遇风险的思维。</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5)建立合理的公司组织结构,确保管理体系所需资源能被获得；</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6)建立良好的沟通机制，杜绝因沟通影响管理体系运行有效性；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7）确保管理体系实现其预期的结果。</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8)促使员工积极参与，指导和支持他们为公司管理体系的有效性作出贡献。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9）推动公司改进和创新；</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10)做好管理岗位的任命，公司内部公开发布任命书，以支持其他管理者在其负责领域证实其领导作用；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承诺基本实现，没有违反的情况发生。</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以顾客为关注焦点</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Q5.1.2</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总经理证实其以顾客为关注焦点的领导作用和承诺，通过以下方面实现：</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确定、理解并持续满足顾客要求以及适用的法律法规要求；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 确定和应对能够影响产品、产品符合性以及增强顾客满意能力的风险和机遇；</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始终致力于增强顾客满意。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详见审核Q9.1.2条款记录。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方针</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制定方针</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沟通方针</w:t>
            </w: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Q5.2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该公司管理方针，质量方针:</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精益求精，满足用户新需要；</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优质高效，创造更完善产品；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持续改进，提供更可靠服务。</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公司以质量标准为基础，结合公司实际特制定管理方针。与总经理进行交谈，总经理对方针内涵的理解较深刻。方针能为制定目标提供框架，方针基本符合标准的要求。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总经理用会议、文件等手段保证管理方针为全体员工理解并落实到工作中。管理评审时对方针的持续适宜性进行了评审，有评审记录。</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以上管理方针通过文件、培训等形式将公司管理方针传达给所有为公司工作或代表公司的人员，相关方也可通过办公室获取公司管理方针。</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cs="宋体"/>
                <w:color w:val="000000" w:themeColor="text1"/>
                <w:szCs w:val="21"/>
                <w14:textFill>
                  <w14:solidFill>
                    <w14:schemeClr w14:val="tx1"/>
                  </w14:solidFill>
                </w14:textFill>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组织的岗位、职责和权限</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Q5.3 </w:t>
            </w: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了部门、各岗位人员职责、权限和相互关系，并在公司内对各级员工进行了必要的传达。对从事与生产、销售有关的管理、执行和验证人员规定其职责、权限及其相互关系，以实现公司管理方针和管理目标。建立、实施和保持公司管理体系所需的过程，公司决定任命石云宏为管理体系的管理者代表。其职责和权限规定如下：</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确保本公司管理体系所需的过程得到建立、实施和保持，代表总经理行使职权；</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询问管代职责回答正确。</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目标及其实现的策划</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Q6.2 </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公司对管理体系所需的相关职能、层次和过程设定管理目标。</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w:t>
            </w:r>
            <w:r>
              <w:rPr>
                <w:rFonts w:hint="eastAsia" w:cs="宋体" w:asciiTheme="minorEastAsia" w:hAnsiTheme="minorEastAsia" w:eastAsiaTheme="minorEastAsia"/>
                <w:color w:val="000000" w:themeColor="text1"/>
                <w:szCs w:val="21"/>
                <w14:textFill>
                  <w14:solidFill>
                    <w14:schemeClr w14:val="tx1"/>
                  </w14:solidFill>
                </w14:textFill>
              </w:rPr>
              <w:t>司管理目标是：</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665"/>
              <w:gridCol w:w="1134"/>
              <w:gridCol w:w="803"/>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质量目标</w:t>
                  </w:r>
                </w:p>
              </w:tc>
              <w:tc>
                <w:tcPr>
                  <w:tcW w:w="2665" w:type="dxa"/>
                  <w:shd w:val="clear" w:color="auto" w:fill="auto"/>
                </w:tcPr>
                <w:p>
                  <w:pPr>
                    <w:rPr>
                      <w:rFonts w:ascii="宋体" w:hAnsi="宋体"/>
                      <w:szCs w:val="24"/>
                    </w:rPr>
                  </w:pPr>
                  <w:r>
                    <w:rPr>
                      <w:rFonts w:hint="eastAsia" w:ascii="宋体" w:hAnsi="宋体"/>
                      <w:szCs w:val="24"/>
                    </w:rPr>
                    <w:t>计算方法</w:t>
                  </w:r>
                </w:p>
              </w:tc>
              <w:tc>
                <w:tcPr>
                  <w:tcW w:w="1134" w:type="dxa"/>
                  <w:shd w:val="clear" w:color="auto" w:fill="auto"/>
                </w:tcPr>
                <w:p>
                  <w:pPr>
                    <w:rPr>
                      <w:rFonts w:ascii="宋体" w:hAnsi="宋体"/>
                      <w:szCs w:val="24"/>
                    </w:rPr>
                  </w:pPr>
                  <w:r>
                    <w:rPr>
                      <w:rFonts w:hint="eastAsia" w:ascii="宋体" w:hAnsi="宋体"/>
                      <w:szCs w:val="24"/>
                    </w:rPr>
                    <w:t>责任部门</w:t>
                  </w:r>
                </w:p>
              </w:tc>
              <w:tc>
                <w:tcPr>
                  <w:tcW w:w="803" w:type="dxa"/>
                </w:tcPr>
                <w:p>
                  <w:pPr>
                    <w:rPr>
                      <w:rFonts w:ascii="宋体" w:hAnsi="宋体"/>
                      <w:szCs w:val="24"/>
                    </w:rPr>
                  </w:pPr>
                  <w:r>
                    <w:rPr>
                      <w:rFonts w:hint="eastAsia" w:ascii="宋体" w:hAnsi="宋体"/>
                      <w:szCs w:val="24"/>
                    </w:rPr>
                    <w:t>考</w:t>
                  </w:r>
                  <w:r>
                    <w:rPr>
                      <w:rFonts w:ascii="宋体" w:hAnsi="宋体"/>
                      <w:szCs w:val="24"/>
                    </w:rPr>
                    <w:t>核</w:t>
                  </w:r>
                  <w:r>
                    <w:rPr>
                      <w:rFonts w:hint="eastAsia" w:ascii="宋体" w:hAnsi="宋体"/>
                      <w:szCs w:val="24"/>
                    </w:rPr>
                    <w:t>频</w:t>
                  </w:r>
                  <w:r>
                    <w:rPr>
                      <w:rFonts w:ascii="宋体" w:hAnsi="宋体"/>
                      <w:szCs w:val="24"/>
                    </w:rPr>
                    <w:t>率</w:t>
                  </w:r>
                </w:p>
              </w:tc>
              <w:tc>
                <w:tcPr>
                  <w:tcW w:w="3308" w:type="dxa"/>
                  <w:shd w:val="clear" w:color="auto" w:fill="auto"/>
                </w:tcPr>
                <w:p>
                  <w:pPr>
                    <w:rPr>
                      <w:rFonts w:ascii="宋体" w:hAnsi="宋体"/>
                      <w:szCs w:val="24"/>
                    </w:rPr>
                  </w:pPr>
                  <w:r>
                    <w:rPr>
                      <w:rFonts w:hint="eastAsia" w:ascii="宋体" w:hAnsi="宋体"/>
                      <w:szCs w:val="24"/>
                    </w:rPr>
                    <w:t>目标实际完成</w:t>
                  </w:r>
                </w:p>
                <w:p>
                  <w:pPr>
                    <w:rPr>
                      <w:rFonts w:ascii="宋体" w:hAnsi="宋体"/>
                      <w:szCs w:val="24"/>
                    </w:rPr>
                  </w:pPr>
                  <w:r>
                    <w:rPr>
                      <w:rFonts w:hint="eastAsia" w:ascii="宋体" w:hAnsi="宋体"/>
                      <w:szCs w:val="24"/>
                    </w:rPr>
                    <w:t>（2022年1-</w:t>
                  </w:r>
                  <w:r>
                    <w:rPr>
                      <w:rFonts w:ascii="宋体" w:hAnsi="宋体"/>
                      <w:szCs w:val="24"/>
                    </w:rPr>
                    <w:t>6</w:t>
                  </w:r>
                  <w:r>
                    <w:rPr>
                      <w:rFonts w:hint="eastAsia" w:ascii="宋体" w:hAnsi="宋体"/>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191" w:type="dxa"/>
                  <w:shd w:val="clear" w:color="auto" w:fill="auto"/>
                  <w:vAlign w:val="center"/>
                </w:tcPr>
                <w:p>
                  <w:pPr>
                    <w:spacing w:line="500" w:lineRule="exact"/>
                    <w:jc w:val="center"/>
                    <w:rPr>
                      <w:rFonts w:ascii="宋体" w:hAnsi="宋体"/>
                    </w:rPr>
                  </w:pPr>
                  <w:r>
                    <w:rPr>
                      <w:rFonts w:hint="eastAsia" w:ascii="宋体" w:hAnsi="宋体"/>
                    </w:rPr>
                    <w:t xml:space="preserve">顾客投诉批率≤ </w:t>
                  </w:r>
                  <w:r>
                    <w:rPr>
                      <w:rFonts w:ascii="宋体" w:hAnsi="宋体"/>
                    </w:rPr>
                    <w:t>3</w:t>
                  </w:r>
                  <w:r>
                    <w:rPr>
                      <w:rFonts w:hint="eastAsia" w:ascii="宋体" w:hAnsi="宋体"/>
                    </w:rPr>
                    <w:t>％</w:t>
                  </w:r>
                </w:p>
              </w:tc>
              <w:tc>
                <w:tcPr>
                  <w:tcW w:w="2665" w:type="dxa"/>
                  <w:shd w:val="clear" w:color="auto" w:fill="auto"/>
                  <w:vAlign w:val="center"/>
                </w:tcPr>
                <w:p>
                  <w:pPr>
                    <w:spacing w:line="500" w:lineRule="exact"/>
                    <w:jc w:val="center"/>
                    <w:rPr>
                      <w:rFonts w:ascii="宋体" w:hAnsi="宋体"/>
                    </w:rPr>
                  </w:pPr>
                  <w:r>
                    <w:rPr>
                      <w:rFonts w:hint="eastAsia" w:ascii="宋体" w:hAnsi="宋体"/>
                    </w:rPr>
                    <w:t>当月顾客投诉批数/当月出货批数×100％</w:t>
                  </w:r>
                </w:p>
              </w:tc>
              <w:tc>
                <w:tcPr>
                  <w:tcW w:w="1134" w:type="dxa"/>
                  <w:shd w:val="clear" w:color="auto" w:fill="auto"/>
                  <w:vAlign w:val="center"/>
                </w:tcPr>
                <w:p>
                  <w:pPr>
                    <w:spacing w:line="500" w:lineRule="exact"/>
                    <w:rPr>
                      <w:rFonts w:ascii="宋体" w:hAnsi="宋体"/>
                    </w:rPr>
                  </w:pPr>
                  <w:r>
                    <w:rPr>
                      <w:rFonts w:hint="eastAsia" w:ascii="宋体" w:hAnsi="宋体"/>
                    </w:rPr>
                    <w:t>品控部</w:t>
                  </w:r>
                </w:p>
              </w:tc>
              <w:tc>
                <w:tcPr>
                  <w:tcW w:w="803" w:type="dxa"/>
                </w:tcPr>
                <w:p>
                  <w:pPr>
                    <w:jc w:val="center"/>
                    <w:rPr>
                      <w:rFonts w:ascii="宋体" w:hAnsi="宋体"/>
                      <w:lang w:val="en-GB"/>
                    </w:rPr>
                  </w:pPr>
                  <w:r>
                    <w:rPr>
                      <w:rFonts w:hint="eastAsia" w:ascii="宋体" w:hAnsi="宋体"/>
                    </w:rPr>
                    <w:t>月</w:t>
                  </w:r>
                  <w:r>
                    <w:rPr>
                      <w:rFonts w:ascii="宋体" w:hAnsi="宋体"/>
                    </w:rPr>
                    <w:t>度</w:t>
                  </w:r>
                </w:p>
              </w:tc>
              <w:tc>
                <w:tcPr>
                  <w:tcW w:w="3308" w:type="dxa"/>
                  <w:shd w:val="clear" w:color="auto" w:fill="auto"/>
                  <w:vAlign w:val="center"/>
                </w:tcPr>
                <w:p>
                  <w:pPr>
                    <w:jc w:val="center"/>
                    <w:rPr>
                      <w:rFonts w:ascii="宋体" w:hAnsi="宋体"/>
                      <w:lang w:val="en-GB"/>
                    </w:rPr>
                  </w:pPr>
                  <w:r>
                    <w:rPr>
                      <w:rFonts w:hint="eastAsia" w:asciiTheme="minorEastAsia" w:hAnsiTheme="minorEastAsia" w:eastAsiaTheme="minorEastAsia"/>
                      <w:szCs w:val="21"/>
                    </w:rPr>
                    <w:t>0</w:t>
                  </w:r>
                  <w:r>
                    <w:rPr>
                      <w:rFonts w:asciiTheme="minorEastAsia" w:hAnsiTheme="minorEastAsia" w:eastAsiaTheme="minorEastAsia"/>
                      <w:szCs w:val="21"/>
                    </w:rPr>
                    <w:t>.</w:t>
                  </w:r>
                  <w:r>
                    <w:rPr>
                      <w:rFonts w:hint="eastAsia" w:asciiTheme="minorEastAsia" w:hAnsiTheme="minorEastAsia" w:eastAsiaTheme="minorEastAsia"/>
                      <w:szCs w:val="21"/>
                    </w:rPr>
                    <w:t>23</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pacing w:line="500" w:lineRule="exact"/>
                    <w:jc w:val="center"/>
                    <w:rPr>
                      <w:rFonts w:ascii="宋体" w:hAnsi="宋体"/>
                    </w:rPr>
                  </w:pPr>
                  <w:r>
                    <w:rPr>
                      <w:rFonts w:hint="eastAsia" w:ascii="宋体" w:hAnsi="宋体"/>
                    </w:rPr>
                    <w:t>成品出货准时率</w:t>
                  </w:r>
                  <w:r>
                    <w:rPr>
                      <w:rFonts w:ascii="宋体" w:hAnsi="宋体"/>
                    </w:rPr>
                    <w:t>≥85%</w:t>
                  </w:r>
                </w:p>
              </w:tc>
              <w:tc>
                <w:tcPr>
                  <w:tcW w:w="2665" w:type="dxa"/>
                  <w:shd w:val="clear" w:color="auto" w:fill="auto"/>
                  <w:vAlign w:val="center"/>
                </w:tcPr>
                <w:p>
                  <w:pPr>
                    <w:spacing w:line="500" w:lineRule="exact"/>
                    <w:jc w:val="center"/>
                    <w:rPr>
                      <w:rFonts w:ascii="宋体" w:hAnsi="宋体"/>
                    </w:rPr>
                  </w:pPr>
                  <w:r>
                    <w:rPr>
                      <w:rFonts w:hint="eastAsia" w:ascii="宋体" w:hAnsi="宋体"/>
                    </w:rPr>
                    <w:t>实际准时出货产品项数</w:t>
                  </w:r>
                  <w:r>
                    <w:rPr>
                      <w:rFonts w:ascii="宋体" w:hAnsi="宋体"/>
                    </w:rPr>
                    <w:t xml:space="preserve"> / </w:t>
                  </w:r>
                  <w:r>
                    <w:rPr>
                      <w:rFonts w:hint="eastAsia" w:ascii="宋体" w:hAnsi="宋体"/>
                    </w:rPr>
                    <w:t>计划出货产品项数×</w:t>
                  </w:r>
                  <w:r>
                    <w:rPr>
                      <w:rFonts w:ascii="宋体" w:hAnsi="宋体"/>
                    </w:rPr>
                    <w:t>100</w:t>
                  </w:r>
                  <w:r>
                    <w:rPr>
                      <w:rFonts w:hint="eastAsia" w:ascii="宋体" w:hAnsi="宋体"/>
                    </w:rPr>
                    <w:t>％</w:t>
                  </w:r>
                </w:p>
              </w:tc>
              <w:tc>
                <w:tcPr>
                  <w:tcW w:w="1134" w:type="dxa"/>
                  <w:shd w:val="clear" w:color="auto" w:fill="auto"/>
                  <w:vAlign w:val="center"/>
                </w:tcPr>
                <w:p>
                  <w:pPr>
                    <w:spacing w:line="500" w:lineRule="exact"/>
                    <w:rPr>
                      <w:rFonts w:ascii="宋体" w:hAnsi="宋体"/>
                    </w:rPr>
                  </w:pPr>
                  <w:r>
                    <w:rPr>
                      <w:rFonts w:hint="eastAsia" w:ascii="宋体" w:hAnsi="宋体"/>
                    </w:rPr>
                    <w:t>物流部</w:t>
                  </w:r>
                </w:p>
              </w:tc>
              <w:tc>
                <w:tcPr>
                  <w:tcW w:w="803" w:type="dxa"/>
                </w:tcPr>
                <w:p>
                  <w:pPr>
                    <w:jc w:val="center"/>
                    <w:rPr>
                      <w:rFonts w:ascii="宋体" w:hAnsi="宋体"/>
                    </w:rPr>
                  </w:pPr>
                  <w:r>
                    <w:rPr>
                      <w:rFonts w:hint="eastAsia" w:ascii="宋体" w:hAnsi="宋体"/>
                    </w:rPr>
                    <w:t>月</w:t>
                  </w:r>
                  <w:r>
                    <w:rPr>
                      <w:rFonts w:ascii="宋体" w:hAnsi="宋体"/>
                    </w:rPr>
                    <w:t>度</w:t>
                  </w:r>
                </w:p>
              </w:tc>
              <w:tc>
                <w:tcPr>
                  <w:tcW w:w="3308" w:type="dxa"/>
                  <w:shd w:val="clear" w:color="auto" w:fill="auto"/>
                  <w:vAlign w:val="center"/>
                </w:tcPr>
                <w:p>
                  <w:pPr>
                    <w:jc w:val="center"/>
                    <w:rPr>
                      <w:rFonts w:ascii="宋体" w:hAnsi="宋体"/>
                    </w:rPr>
                  </w:pPr>
                  <w:r>
                    <w:rPr>
                      <w:rFonts w:asciiTheme="minorEastAsia" w:hAnsiTheme="minorEastAsia" w:eastAsiaTheme="minorEastAsia"/>
                      <w:szCs w:val="21"/>
                    </w:rPr>
                    <w:t>9</w:t>
                  </w:r>
                  <w:r>
                    <w:rPr>
                      <w:rFonts w:hint="eastAsia" w:asciiTheme="minorEastAsia" w:hAnsiTheme="minorEastAsia" w:eastAsiaTheme="minorEastAsia"/>
                      <w:szCs w:val="21"/>
                    </w:rPr>
                    <w:t>1</w:t>
                  </w:r>
                  <w:r>
                    <w:rPr>
                      <w:rFonts w:asciiTheme="minorEastAsia" w:hAnsiTheme="minorEastAsia" w:eastAsiaTheme="minorEastAsia"/>
                      <w:szCs w:val="21"/>
                    </w:rPr>
                    <w:t>%</w:t>
                  </w:r>
                </w:p>
              </w:tc>
            </w:tr>
          </w:tbl>
          <w:p>
            <w:pPr>
              <w:pStyle w:val="12"/>
              <w:ind w:right="90"/>
              <w:rPr>
                <w:rFonts w:cs="宋体" w:asciiTheme="minorEastAsia" w:hAnsiTheme="minorEastAsia" w:eastAsiaTheme="minorEastAsia"/>
                <w:color w:val="000000"/>
                <w:sz w:val="21"/>
                <w:szCs w:val="21"/>
                <w:lang w:eastAsia="zh-CN"/>
              </w:rPr>
            </w:pPr>
          </w:p>
          <w:p>
            <w:pPr>
              <w:pStyle w:val="12"/>
              <w:ind w:right="90"/>
              <w:rPr>
                <w:rFonts w:cs="宋体" w:asciiTheme="minorEastAsia" w:hAnsiTheme="minorEastAsia" w:eastAsiaTheme="minorEastAsia"/>
                <w:color w:val="000000"/>
                <w:sz w:val="21"/>
                <w:szCs w:val="21"/>
                <w:lang w:eastAsia="zh-CN"/>
              </w:rPr>
            </w:pPr>
          </w:p>
          <w:p>
            <w:pPr>
              <w:pStyle w:val="12"/>
              <w:ind w:right="9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20</w:t>
            </w:r>
            <w:r>
              <w:rPr>
                <w:rFonts w:cs="宋体" w:asciiTheme="minorEastAsia" w:hAnsiTheme="minorEastAsia" w:eastAsiaTheme="minorEastAsia"/>
                <w:color w:val="000000"/>
                <w:sz w:val="21"/>
                <w:szCs w:val="21"/>
                <w:lang w:eastAsia="zh-CN"/>
              </w:rPr>
              <w:t>2</w:t>
            </w:r>
            <w:r>
              <w:rPr>
                <w:rFonts w:hint="eastAsia" w:cs="宋体" w:asciiTheme="minorEastAsia" w:hAnsiTheme="minorEastAsia" w:eastAsiaTheme="minorEastAsia"/>
                <w:color w:val="000000"/>
                <w:sz w:val="21"/>
                <w:szCs w:val="21"/>
                <w:lang w:eastAsia="zh-CN"/>
              </w:rPr>
              <w:t>2年1</w:t>
            </w:r>
            <w:r>
              <w:rPr>
                <w:rFonts w:cs="宋体" w:asciiTheme="minorEastAsia" w:hAnsiTheme="minorEastAsia" w:eastAsiaTheme="minorEastAsia"/>
                <w:color w:val="000000"/>
                <w:sz w:val="21"/>
                <w:szCs w:val="21"/>
                <w:lang w:eastAsia="zh-CN"/>
              </w:rPr>
              <w:t>-6</w:t>
            </w:r>
            <w:r>
              <w:rPr>
                <w:rFonts w:hint="eastAsia" w:cs="宋体" w:asciiTheme="minorEastAsia" w:hAnsiTheme="minorEastAsia" w:eastAsiaTheme="minorEastAsia"/>
                <w:color w:val="000000"/>
                <w:sz w:val="21"/>
                <w:szCs w:val="21"/>
                <w:lang w:eastAsia="zh-CN"/>
              </w:rPr>
              <w:t>月实施及</w:t>
            </w:r>
            <w:r>
              <w:rPr>
                <w:rFonts w:cs="宋体" w:asciiTheme="minorEastAsia" w:hAnsiTheme="minorEastAsia" w:eastAsiaTheme="minorEastAsia"/>
                <w:color w:val="000000"/>
                <w:sz w:val="21"/>
                <w:szCs w:val="21"/>
                <w:lang w:eastAsia="zh-CN"/>
              </w:rPr>
              <w:t>完成情况</w:t>
            </w:r>
            <w:r>
              <w:rPr>
                <w:rFonts w:hint="eastAsia" w:cs="宋体" w:asciiTheme="minorEastAsia" w:hAnsiTheme="minorEastAsia" w:eastAsiaTheme="minorEastAsia"/>
                <w:color w:val="000000"/>
                <w:sz w:val="21"/>
                <w:szCs w:val="21"/>
                <w:lang w:eastAsia="zh-CN"/>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每半年由品控部按公司管理目标考核要求统计考核公司管理目标完成情况，提交管理评审会议。查到今年上半年公司管理目标完成情况，各项目标均已完成，考核人石云宏。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针对重要环境因素制订了管理方案并予以实施，基本有效，详见品控部该条款审核记录。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变更的策划</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Q6.3</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公司确定需要对管理体系进行变更时，应经策划并系统的实施。公司应考虑：</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变更目的及其潜在后果；b) 管理体系的完整性；c) 资源的可获得性；d) 责任和权限的分配与再分配。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公司目前对管理体系暂无变更。</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Q9.3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1.管理评审计划，评审目的：评价质量、环境管理体系的持续适宜性、充分性和有效性，寻求管理体系改进的机会；评价方针、组织机构、资源配置的适宜性。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w:t>
            </w:r>
            <w:r>
              <w:rPr>
                <w:rFonts w:hint="eastAsia" w:ascii="宋体" w:hAnsi="宋体" w:cs="宋体"/>
                <w:szCs w:val="21"/>
              </w:rPr>
              <w:t>审时间：2022年7月18日进行， 评审方</w:t>
            </w:r>
            <w:r>
              <w:rPr>
                <w:rFonts w:hint="eastAsia" w:ascii="宋体" w:hAnsi="宋体" w:cs="宋体"/>
                <w:color w:val="000000" w:themeColor="text1"/>
                <w:szCs w:val="21"/>
                <w14:textFill>
                  <w14:solidFill>
                    <w14:schemeClr w14:val="tx1"/>
                  </w14:solidFill>
                </w14:textFill>
              </w:rPr>
              <w:t>式：会议评审，编制：石云宏、批准：总经理GIJ</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管理评审参加人员包括公司总经理、管理者代表、各部门负责人等。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计划中明确了评审内容和资料准备要求。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2.管理评审会议记录，</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3.管理评审报告，</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管理评审结论：</w:t>
            </w:r>
          </w:p>
          <w:p>
            <w:pPr>
              <w:pStyle w:val="12"/>
              <w:numPr>
                <w:ilvl w:val="0"/>
                <w:numId w:val="1"/>
              </w:numPr>
              <w:adjustRightInd w:val="0"/>
              <w:snapToGrid w:val="0"/>
              <w:spacing w:line="400" w:lineRule="exact"/>
              <w:ind w:right="90"/>
              <w:rPr>
                <w:rFonts w:ascii="Times New Roman" w:hAnsi="Times New Roman" w:eastAsia="宋体" w:cs="Times New Roman"/>
                <w:color w:val="000000"/>
                <w:kern w:val="2"/>
                <w:sz w:val="24"/>
                <w:szCs w:val="24"/>
                <w:lang w:eastAsia="zh-CN"/>
              </w:rPr>
            </w:pPr>
            <w:r>
              <w:rPr>
                <w:rFonts w:ascii="Times New Roman" w:hAnsi="Times New Roman" w:eastAsia="宋体" w:cs="Times New Roman"/>
                <w:color w:val="000000"/>
                <w:kern w:val="2"/>
                <w:sz w:val="24"/>
                <w:szCs w:val="24"/>
                <w:lang w:eastAsia="zh-CN"/>
              </w:rPr>
              <w:t>公司的质量&amp;环境方针能够得到贯彻执行且与相关法律法规要求及公司发展方向保持一致</w:t>
            </w:r>
            <w:r>
              <w:rPr>
                <w:rFonts w:hint="eastAsia" w:ascii="Times New Roman" w:hAnsi="Times New Roman" w:eastAsia="宋体" w:cs="Times New Roman"/>
                <w:color w:val="000000"/>
                <w:kern w:val="2"/>
                <w:sz w:val="24"/>
                <w:szCs w:val="24"/>
                <w:lang w:eastAsia="zh-CN"/>
              </w:rPr>
              <w:t>。</w:t>
            </w:r>
          </w:p>
          <w:p>
            <w:pPr>
              <w:numPr>
                <w:ilvl w:val="0"/>
                <w:numId w:val="1"/>
              </w:numPr>
              <w:adjustRightInd w:val="0"/>
              <w:snapToGrid w:val="0"/>
              <w:spacing w:line="400" w:lineRule="exact"/>
              <w:jc w:val="left"/>
              <w:rPr>
                <w:color w:val="000000"/>
                <w:sz w:val="24"/>
              </w:rPr>
            </w:pPr>
            <w:r>
              <w:rPr>
                <w:rFonts w:hint="eastAsia"/>
                <w:color w:val="000000"/>
                <w:sz w:val="24"/>
              </w:rPr>
              <w:t>公司的质量管理体系、环境体系是适宜的、充分的和有效的。</w:t>
            </w:r>
          </w:p>
          <w:p>
            <w:pPr>
              <w:numPr>
                <w:ilvl w:val="0"/>
                <w:numId w:val="1"/>
              </w:numPr>
              <w:adjustRightInd w:val="0"/>
              <w:snapToGrid w:val="0"/>
              <w:spacing w:line="400" w:lineRule="exact"/>
              <w:jc w:val="left"/>
              <w:rPr>
                <w:color w:val="000000"/>
                <w:sz w:val="24"/>
              </w:rPr>
            </w:pPr>
            <w:r>
              <w:rPr>
                <w:rFonts w:hint="eastAsia"/>
                <w:color w:val="000000"/>
                <w:sz w:val="24"/>
              </w:rPr>
              <w:t>就本次管理评审提出的改进措施和注意事项希望有关部门尽快改善。</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4.改进计划:</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能及时处理相关方（顾客）投诉，并有针对性地进行整改。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针对产品LOKO蚀刻歪斜在产品蚀刻上做一些优化。</w:t>
            </w:r>
          </w:p>
          <w:p>
            <w:r>
              <w:rPr>
                <w:rFonts w:hint="eastAsia" w:ascii="宋体" w:hAnsi="宋体" w:cs="宋体"/>
                <w:color w:val="000000" w:themeColor="text1"/>
                <w:szCs w:val="21"/>
                <w14:textFill>
                  <w14:solidFill>
                    <w14:schemeClr w14:val="tx1"/>
                  </w14:solidFill>
                </w14:textFill>
              </w:rPr>
              <w:t>针对标贴错乱改善自动叠袋机紧固螺丝并划线做防呆；漏贴做好尾数管理；锁装配不到位改进胶件等。</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总则</w:t>
            </w:r>
          </w:p>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Q10.1</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——具体事实可见审核10.2条款记录。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6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持续改进</w:t>
            </w:r>
          </w:p>
        </w:tc>
        <w:tc>
          <w:tcPr>
            <w:tcW w:w="851"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Q 10.3</w:t>
            </w:r>
          </w:p>
          <w:p>
            <w:pPr>
              <w:rPr>
                <w:rFonts w:ascii="宋体" w:hAnsi="宋体" w:cs="宋体"/>
                <w:color w:val="000000" w:themeColor="text1"/>
                <w:szCs w:val="21"/>
                <w14:textFill>
                  <w14:solidFill>
                    <w14:schemeClr w14:val="tx1"/>
                  </w14:solidFill>
                </w14:textFill>
              </w:rPr>
            </w:pPr>
          </w:p>
        </w:tc>
        <w:tc>
          <w:tcPr>
            <w:tcW w:w="1134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公司组织确定并选择改进机会，采取必要措施，满足顾客要求和增强顾客满意。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改进产品或服务，以满足要求并关注未来的需求和期望；</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 纠正或减少不利影响；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改进管理体系绩效和有效性；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对以下方面所需的监视、测量、分析和改进过程进行策划和实施：</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1.证实产品生产和和销售满足规定的要求；</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2.确保管理体系的符合性；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3.持续改进管理体系的有效性。</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根据不同过程、不同产品和不同要求，采取不同的方法进行监视、测量和分析。</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公司利用管理方针、目标、内审和外审、数据分析、纠正和预防措施以及管理评审，识别任何改进的机会，持续改进管理体系的适宜性、充分性和有效性。详见相关条款审核记录。</w:t>
            </w:r>
          </w:p>
        </w:tc>
        <w:tc>
          <w:tcPr>
            <w:tcW w:w="127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pacing w:line="360" w:lineRule="auto"/>
              <w:rPr>
                <w:rFonts w:ascii="楷体" w:hAnsi="楷体" w:eastAsia="楷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61" w:type="dxa"/>
          </w:tcPr>
          <w:p>
            <w:pPr>
              <w:rPr>
                <w:rFonts w:ascii="宋体" w:hAnsi="宋体" w:cs="宋体"/>
                <w:color w:val="000000" w:themeColor="text1"/>
                <w:szCs w:val="21"/>
                <w14:textFill>
                  <w14:solidFill>
                    <w14:schemeClr w14:val="tx1"/>
                  </w14:solidFill>
                </w14:textFill>
              </w:rPr>
            </w:pPr>
          </w:p>
        </w:tc>
        <w:tc>
          <w:tcPr>
            <w:tcW w:w="851" w:type="dxa"/>
          </w:tcPr>
          <w:p>
            <w:pPr>
              <w:rPr>
                <w:rFonts w:ascii="宋体" w:hAnsi="宋体" w:cs="宋体"/>
                <w:color w:val="000000" w:themeColor="text1"/>
                <w:szCs w:val="21"/>
                <w14:textFill>
                  <w14:solidFill>
                    <w14:schemeClr w14:val="tx1"/>
                  </w14:solidFill>
                </w14:textFill>
              </w:rPr>
            </w:pPr>
          </w:p>
        </w:tc>
        <w:tc>
          <w:tcPr>
            <w:tcW w:w="11340" w:type="dxa"/>
            <w:vAlign w:val="center"/>
          </w:tcPr>
          <w:p>
            <w:r>
              <w:rPr>
                <w:rFonts w:hint="eastAsia"/>
              </w:rPr>
              <w:t>上级检查情况：未发生</w:t>
            </w:r>
          </w:p>
          <w:p>
            <w:pPr>
              <w:spacing w:line="360" w:lineRule="auto"/>
              <w:jc w:val="center"/>
              <w:rPr>
                <w:rFonts w:ascii="楷体" w:hAnsi="楷体" w:eastAsia="楷体"/>
                <w:bCs/>
                <w:color w:val="000000"/>
                <w:sz w:val="24"/>
                <w:szCs w:val="24"/>
              </w:rPr>
            </w:pPr>
            <w:r>
              <w:rPr>
                <w:rFonts w:hint="eastAsia"/>
              </w:rPr>
              <w:t>顾客投诉情况：2021年8月到12个月有关质量的投诉共4批，</w:t>
            </w:r>
            <w:r>
              <w:rPr>
                <w:rFonts w:hint="eastAsia"/>
              </w:rPr>
              <w:tab/>
            </w:r>
            <w:r>
              <w:rPr>
                <w:rFonts w:hint="eastAsia"/>
              </w:rPr>
              <w:t>主要投诉集中在烫衣板布发霉，收缩膜易破等，2022年1月到6月，主要投诉集中在五金件尺寸装配外观及漏配件。能及时处理相关方（顾客）的投诉，并有针对性地进地整改</w:t>
            </w:r>
          </w:p>
          <w:p>
            <w:r>
              <w:rPr>
                <w:rFonts w:hint="eastAsia"/>
              </w:rPr>
              <w:t>变更情况：无</w:t>
            </w:r>
          </w:p>
          <w:p>
            <w:r>
              <w:rPr>
                <w:rFonts w:hint="eastAsia"/>
              </w:rPr>
              <w:t>上次不符合验证：2021年</w:t>
            </w:r>
            <w:r>
              <w:t>度</w:t>
            </w:r>
            <w:r>
              <w:rPr>
                <w:rFonts w:hint="eastAsia"/>
              </w:rPr>
              <w:t>监</w:t>
            </w:r>
            <w:r>
              <w:t>督审核</w:t>
            </w:r>
            <w:r>
              <w:rPr>
                <w:rFonts w:hint="eastAsia"/>
              </w:rPr>
              <w:t>有1项不符</w:t>
            </w:r>
            <w:r>
              <w:t>合</w:t>
            </w:r>
            <w:r>
              <w:rPr>
                <w:rFonts w:hint="eastAsia"/>
              </w:rPr>
              <w:t>项，已</w:t>
            </w:r>
            <w:r>
              <w:t>验证符合要求</w:t>
            </w:r>
            <w:r>
              <w:rPr>
                <w:rFonts w:hint="eastAsia"/>
              </w:rPr>
              <w:t>；</w:t>
            </w:r>
          </w:p>
          <w:p>
            <w:pPr>
              <w:pStyle w:val="11"/>
            </w:pPr>
            <w:r>
              <w:rPr>
                <w:rFonts w:hint="eastAsia" w:ascii="宋体" w:hAnsi="宋体" w:cs="宋体"/>
                <w:color w:val="000000" w:themeColor="text1"/>
                <w:szCs w:val="21"/>
                <w14:textFill>
                  <w14:solidFill>
                    <w14:schemeClr w14:val="tx1"/>
                  </w14:solidFill>
                </w14:textFill>
              </w:rPr>
              <w:t>证书及标志使用：符合要求</w:t>
            </w:r>
          </w:p>
        </w:tc>
        <w:tc>
          <w:tcPr>
            <w:tcW w:w="1276" w:type="dxa"/>
          </w:tcPr>
          <w:p>
            <w:pPr>
              <w:spacing w:line="360" w:lineRule="auto"/>
              <w:rPr>
                <w:rFonts w:ascii="楷体" w:hAnsi="楷体" w:eastAsia="楷体"/>
                <w:sz w:val="24"/>
                <w:szCs w:val="24"/>
              </w:rPr>
            </w:pP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spacing w:line="360" w:lineRule="auto"/>
        <w:jc w:val="center"/>
        <w:rPr>
          <w:rFonts w:ascii="楷体" w:hAnsi="楷体" w:eastAsia="楷体"/>
          <w:bCs/>
          <w:color w:val="000000"/>
          <w:sz w:val="24"/>
          <w:szCs w:val="24"/>
        </w:rPr>
      </w:pPr>
    </w:p>
    <w:p>
      <w:pPr>
        <w:spacing w:line="360" w:lineRule="auto"/>
        <w:jc w:val="center"/>
        <w:rPr>
          <w:rFonts w:ascii="楷体" w:hAnsi="楷体" w:eastAsia="楷体"/>
          <w:bCs/>
          <w:color w:val="000000"/>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roid Sans Fallback">
    <w:altName w:val="Arial"/>
    <w:panose1 w:val="00000000000000000000"/>
    <w:charset w:val="00"/>
    <w:family w:val="swiss"/>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00" w:firstLineChars="500"/>
      <w:jc w:val="left"/>
      <w:rPr>
        <w:rStyle w:val="10"/>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3810</wp:posOffset>
          </wp:positionH>
          <wp:positionV relativeFrom="paragraph">
            <wp:posOffset>20320</wp:posOffset>
          </wp:positionV>
          <wp:extent cx="427990" cy="431165"/>
          <wp:effectExtent l="0" t="0" r="0" b="698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27990" cy="431165"/>
                  </a:xfrm>
                  <a:prstGeom prst="rect">
                    <a:avLst/>
                  </a:prstGeom>
                  <a:noFill/>
                  <a:ln>
                    <a:noFill/>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7068820</wp:posOffset>
              </wp:positionH>
              <wp:positionV relativeFrom="paragraph">
                <wp:posOffset>24130</wp:posOffset>
              </wp:positionV>
              <wp:extent cx="2158365"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58521"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wps:txbx>
                    <wps:bodyPr wrap="square" upright="1"/>
                  </wps:wsp>
                </a:graphicData>
              </a:graphic>
            </wp:anchor>
          </w:drawing>
        </mc:Choice>
        <mc:Fallback>
          <w:pict>
            <v:shape id="文本框 1" o:spid="_x0000_s1026" o:spt="202" type="#_x0000_t202" style="position:absolute;left:0pt;margin-left:556.6pt;margin-top:1.9pt;height:20.2pt;width:169.95pt;z-index:251659264;mso-width-relative:page;mso-height-relative:page;" fillcolor="#FFFFFF" filled="t" stroked="f" coordsize="21600,21600" o:gfxdata="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fl01wAAAAoBAAAPAAAAAAAA&#10;AAEAIAAAACIAAABkcnMvZG93bnJldi54bWxQSwECFAAUAAAACACHTuJABqaS79oBAACcAwAADgAA&#10;AAAAAAABACAAAAAmAQAAZHJzL2Uyb0RvYy54bWxQSwUGAAAAAAYABgBZAQAAc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v:textbox>
            </v:shape>
          </w:pict>
        </mc:Fallback>
      </mc:AlternateConten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9973B4"/>
    <w:rsid w:val="00001027"/>
    <w:rsid w:val="00005CA0"/>
    <w:rsid w:val="000166C4"/>
    <w:rsid w:val="00020F5A"/>
    <w:rsid w:val="000237F6"/>
    <w:rsid w:val="0003373A"/>
    <w:rsid w:val="000374BF"/>
    <w:rsid w:val="0005083C"/>
    <w:rsid w:val="00057B91"/>
    <w:rsid w:val="00060877"/>
    <w:rsid w:val="0006463D"/>
    <w:rsid w:val="00094D6A"/>
    <w:rsid w:val="000A1CA7"/>
    <w:rsid w:val="000A420D"/>
    <w:rsid w:val="000B43EF"/>
    <w:rsid w:val="000D53AA"/>
    <w:rsid w:val="00106865"/>
    <w:rsid w:val="00107B39"/>
    <w:rsid w:val="00110343"/>
    <w:rsid w:val="00113CCF"/>
    <w:rsid w:val="00136493"/>
    <w:rsid w:val="00171550"/>
    <w:rsid w:val="00171A84"/>
    <w:rsid w:val="00182729"/>
    <w:rsid w:val="00183AB3"/>
    <w:rsid w:val="001970AC"/>
    <w:rsid w:val="001A2D7F"/>
    <w:rsid w:val="001A38DC"/>
    <w:rsid w:val="001B3822"/>
    <w:rsid w:val="001C5E42"/>
    <w:rsid w:val="001F1AC6"/>
    <w:rsid w:val="001F7678"/>
    <w:rsid w:val="002013D5"/>
    <w:rsid w:val="0021156B"/>
    <w:rsid w:val="00221A32"/>
    <w:rsid w:val="00232E13"/>
    <w:rsid w:val="00240E2A"/>
    <w:rsid w:val="00245E0F"/>
    <w:rsid w:val="00253156"/>
    <w:rsid w:val="002852D3"/>
    <w:rsid w:val="002B4F74"/>
    <w:rsid w:val="002B6918"/>
    <w:rsid w:val="00317BF5"/>
    <w:rsid w:val="003235F1"/>
    <w:rsid w:val="00337922"/>
    <w:rsid w:val="00340867"/>
    <w:rsid w:val="00357CDD"/>
    <w:rsid w:val="00364711"/>
    <w:rsid w:val="003653E0"/>
    <w:rsid w:val="0037112B"/>
    <w:rsid w:val="00380837"/>
    <w:rsid w:val="003A198A"/>
    <w:rsid w:val="003A2827"/>
    <w:rsid w:val="003C028E"/>
    <w:rsid w:val="00401ABA"/>
    <w:rsid w:val="00410914"/>
    <w:rsid w:val="00412CAA"/>
    <w:rsid w:val="00420BDF"/>
    <w:rsid w:val="0044026F"/>
    <w:rsid w:val="00446DF6"/>
    <w:rsid w:val="0046606C"/>
    <w:rsid w:val="00472D8F"/>
    <w:rsid w:val="00480819"/>
    <w:rsid w:val="00491A38"/>
    <w:rsid w:val="00492B66"/>
    <w:rsid w:val="004A4E2A"/>
    <w:rsid w:val="004A7CFB"/>
    <w:rsid w:val="004B37F2"/>
    <w:rsid w:val="004B66EF"/>
    <w:rsid w:val="004B693A"/>
    <w:rsid w:val="004C7CF0"/>
    <w:rsid w:val="004E424D"/>
    <w:rsid w:val="00510B79"/>
    <w:rsid w:val="005361FC"/>
    <w:rsid w:val="00536930"/>
    <w:rsid w:val="0055558C"/>
    <w:rsid w:val="00564E53"/>
    <w:rsid w:val="0057531F"/>
    <w:rsid w:val="00597B02"/>
    <w:rsid w:val="005C5F87"/>
    <w:rsid w:val="005D1743"/>
    <w:rsid w:val="005E67E9"/>
    <w:rsid w:val="00602C78"/>
    <w:rsid w:val="006056EA"/>
    <w:rsid w:val="00607620"/>
    <w:rsid w:val="00611ADE"/>
    <w:rsid w:val="0062229F"/>
    <w:rsid w:val="006242BD"/>
    <w:rsid w:val="00624D33"/>
    <w:rsid w:val="0063797B"/>
    <w:rsid w:val="00644FE2"/>
    <w:rsid w:val="00647071"/>
    <w:rsid w:val="00663F13"/>
    <w:rsid w:val="0067640C"/>
    <w:rsid w:val="00695C74"/>
    <w:rsid w:val="006A1C57"/>
    <w:rsid w:val="006B032E"/>
    <w:rsid w:val="006E678B"/>
    <w:rsid w:val="00711024"/>
    <w:rsid w:val="0072280D"/>
    <w:rsid w:val="00735A80"/>
    <w:rsid w:val="00736BD8"/>
    <w:rsid w:val="00745444"/>
    <w:rsid w:val="0077196B"/>
    <w:rsid w:val="007757F3"/>
    <w:rsid w:val="007A2E78"/>
    <w:rsid w:val="007E2BC3"/>
    <w:rsid w:val="007E6AEB"/>
    <w:rsid w:val="00823576"/>
    <w:rsid w:val="00840115"/>
    <w:rsid w:val="00840A33"/>
    <w:rsid w:val="00873CA8"/>
    <w:rsid w:val="008902D5"/>
    <w:rsid w:val="008973EE"/>
    <w:rsid w:val="00897DDA"/>
    <w:rsid w:val="008A780F"/>
    <w:rsid w:val="008B146C"/>
    <w:rsid w:val="008C6324"/>
    <w:rsid w:val="008D1417"/>
    <w:rsid w:val="008D3875"/>
    <w:rsid w:val="008D4F1D"/>
    <w:rsid w:val="008D6837"/>
    <w:rsid w:val="008E342C"/>
    <w:rsid w:val="009074D6"/>
    <w:rsid w:val="00917EED"/>
    <w:rsid w:val="00945B4E"/>
    <w:rsid w:val="00960D28"/>
    <w:rsid w:val="00967D7D"/>
    <w:rsid w:val="00971600"/>
    <w:rsid w:val="00975527"/>
    <w:rsid w:val="00976E1B"/>
    <w:rsid w:val="009820F5"/>
    <w:rsid w:val="0098721A"/>
    <w:rsid w:val="009973B4"/>
    <w:rsid w:val="009C28C1"/>
    <w:rsid w:val="009C4F3D"/>
    <w:rsid w:val="009D0A76"/>
    <w:rsid w:val="009E178F"/>
    <w:rsid w:val="009F5463"/>
    <w:rsid w:val="009F7EED"/>
    <w:rsid w:val="00A02A84"/>
    <w:rsid w:val="00A16948"/>
    <w:rsid w:val="00A51EA5"/>
    <w:rsid w:val="00A5330C"/>
    <w:rsid w:val="00A760CB"/>
    <w:rsid w:val="00A80CB1"/>
    <w:rsid w:val="00A931DA"/>
    <w:rsid w:val="00AA1D16"/>
    <w:rsid w:val="00AC43AE"/>
    <w:rsid w:val="00AC561A"/>
    <w:rsid w:val="00AD03D7"/>
    <w:rsid w:val="00AD4429"/>
    <w:rsid w:val="00AE2CE7"/>
    <w:rsid w:val="00AE5AF4"/>
    <w:rsid w:val="00AF0AAB"/>
    <w:rsid w:val="00B146BE"/>
    <w:rsid w:val="00B14E98"/>
    <w:rsid w:val="00B15133"/>
    <w:rsid w:val="00B171C9"/>
    <w:rsid w:val="00B878C8"/>
    <w:rsid w:val="00B979A1"/>
    <w:rsid w:val="00BA53FA"/>
    <w:rsid w:val="00BB6423"/>
    <w:rsid w:val="00BF597E"/>
    <w:rsid w:val="00C01B6A"/>
    <w:rsid w:val="00C06CF5"/>
    <w:rsid w:val="00C2769D"/>
    <w:rsid w:val="00C34BBB"/>
    <w:rsid w:val="00C4072B"/>
    <w:rsid w:val="00C40814"/>
    <w:rsid w:val="00C51A36"/>
    <w:rsid w:val="00C5349B"/>
    <w:rsid w:val="00C55228"/>
    <w:rsid w:val="00C639FE"/>
    <w:rsid w:val="00C95367"/>
    <w:rsid w:val="00CC2AF8"/>
    <w:rsid w:val="00CD2431"/>
    <w:rsid w:val="00CE315A"/>
    <w:rsid w:val="00CE7745"/>
    <w:rsid w:val="00CF6398"/>
    <w:rsid w:val="00D00F35"/>
    <w:rsid w:val="00D06F59"/>
    <w:rsid w:val="00D114B7"/>
    <w:rsid w:val="00D35752"/>
    <w:rsid w:val="00D42E2E"/>
    <w:rsid w:val="00D44821"/>
    <w:rsid w:val="00D53EC5"/>
    <w:rsid w:val="00D66E10"/>
    <w:rsid w:val="00D77DDF"/>
    <w:rsid w:val="00D8388C"/>
    <w:rsid w:val="00D95366"/>
    <w:rsid w:val="00DA2751"/>
    <w:rsid w:val="00DC170C"/>
    <w:rsid w:val="00DC3C33"/>
    <w:rsid w:val="00DE2FD6"/>
    <w:rsid w:val="00E12BFD"/>
    <w:rsid w:val="00E15AC5"/>
    <w:rsid w:val="00E22A1C"/>
    <w:rsid w:val="00E24B1E"/>
    <w:rsid w:val="00E47B1E"/>
    <w:rsid w:val="00E5300D"/>
    <w:rsid w:val="00E5763B"/>
    <w:rsid w:val="00E76613"/>
    <w:rsid w:val="00E92CCA"/>
    <w:rsid w:val="00EB0164"/>
    <w:rsid w:val="00EB5572"/>
    <w:rsid w:val="00ED0F62"/>
    <w:rsid w:val="00EE2D6A"/>
    <w:rsid w:val="00EF2D1B"/>
    <w:rsid w:val="00EF5C4E"/>
    <w:rsid w:val="00F22C1A"/>
    <w:rsid w:val="00F260F1"/>
    <w:rsid w:val="00F379CF"/>
    <w:rsid w:val="00F50FDC"/>
    <w:rsid w:val="00F55689"/>
    <w:rsid w:val="00F70103"/>
    <w:rsid w:val="00F730B1"/>
    <w:rsid w:val="00F80DDC"/>
    <w:rsid w:val="00F94DEB"/>
    <w:rsid w:val="00FA38DB"/>
    <w:rsid w:val="00FA602E"/>
    <w:rsid w:val="00FB6BD6"/>
    <w:rsid w:val="00FC7431"/>
    <w:rsid w:val="00FD3466"/>
    <w:rsid w:val="00FD5980"/>
    <w:rsid w:val="00FF162E"/>
    <w:rsid w:val="07F407D5"/>
    <w:rsid w:val="108219C2"/>
    <w:rsid w:val="19A27831"/>
    <w:rsid w:val="21DB19BE"/>
    <w:rsid w:val="23210EF4"/>
    <w:rsid w:val="3310034A"/>
    <w:rsid w:val="4833483E"/>
    <w:rsid w:val="4CE03BA3"/>
    <w:rsid w:val="5DCC1945"/>
    <w:rsid w:val="5EA12B9A"/>
    <w:rsid w:val="6F601A04"/>
    <w:rsid w:val="72884A0F"/>
    <w:rsid w:val="74F25494"/>
    <w:rsid w:val="76466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paragraph" w:customStyle="1" w:styleId="12">
    <w:name w:val="Table Paragraph"/>
    <w:basedOn w:val="1"/>
    <w:qFormat/>
    <w:uiPriority w:val="1"/>
    <w:pPr>
      <w:autoSpaceDE w:val="0"/>
      <w:autoSpaceDN w:val="0"/>
      <w:jc w:val="left"/>
    </w:pPr>
    <w:rPr>
      <w:rFonts w:ascii="Droid Sans Fallback" w:hAnsi="Droid Sans Fallback" w:eastAsia="Droid Sans Fallback" w:cs="Droid Sans Fallback"/>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334EF2-8027-4636-A62A-9FCCDF230D9C}">
  <ds:schemaRefs/>
</ds:datastoreItem>
</file>

<file path=docProps/app.xml><?xml version="1.0" encoding="utf-8"?>
<Properties xmlns="http://schemas.openxmlformats.org/officeDocument/2006/extended-properties" xmlns:vt="http://schemas.openxmlformats.org/officeDocument/2006/docPropsVTypes">
  <Template>Normal</Template>
  <Pages>8</Pages>
  <Words>945</Words>
  <Characters>5389</Characters>
  <Lines>44</Lines>
  <Paragraphs>12</Paragraphs>
  <TotalTime>29</TotalTime>
  <ScaleCrop>false</ScaleCrop>
  <LinksUpToDate>false</LinksUpToDate>
  <CharactersWithSpaces>6322</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2019-07-23T08:52:00Z</dcterms:created>
  <dc:creator>微软用户</dc:creator>
  <cp:lastModifiedBy>企业咨询17334292415</cp:lastModifiedBy>
  <dcterms:modified xsi:type="dcterms:W3CDTF">2022-08-20T08:57:03Z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CC4F19B57792412B896CF2806164C298</vt:lpwstr>
  </property>
</Properties>
</file>