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311"/>
        <w:gridCol w:w="10596"/>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rPr>
                <w:szCs w:val="22"/>
              </w:rPr>
            </w:pPr>
            <w:r>
              <w:rPr>
                <w:rFonts w:hint="eastAsia"/>
                <w:szCs w:val="22"/>
              </w:rPr>
              <w:t>过程与活动、</w:t>
            </w:r>
          </w:p>
          <w:p>
            <w:pPr>
              <w:rPr>
                <w:szCs w:val="22"/>
              </w:rPr>
            </w:pPr>
            <w:r>
              <w:rPr>
                <w:rFonts w:hint="eastAsia"/>
                <w:szCs w:val="22"/>
              </w:rPr>
              <w:t>抽样计划</w:t>
            </w:r>
          </w:p>
        </w:tc>
        <w:tc>
          <w:tcPr>
            <w:tcW w:w="1311" w:type="dxa"/>
            <w:vMerge w:val="restart"/>
            <w:vAlign w:val="center"/>
          </w:tcPr>
          <w:p>
            <w:pPr>
              <w:rPr>
                <w:szCs w:val="22"/>
              </w:rPr>
            </w:pPr>
            <w:r>
              <w:rPr>
                <w:rFonts w:hint="eastAsia"/>
                <w:szCs w:val="22"/>
              </w:rPr>
              <w:t>涉及条款</w:t>
            </w:r>
          </w:p>
        </w:tc>
        <w:tc>
          <w:tcPr>
            <w:tcW w:w="10596" w:type="dxa"/>
            <w:vAlign w:val="center"/>
          </w:tcPr>
          <w:p>
            <w:pPr>
              <w:rPr>
                <w:szCs w:val="22"/>
              </w:rPr>
            </w:pPr>
            <w:r>
              <w:rPr>
                <w:rFonts w:hint="eastAsia"/>
                <w:szCs w:val="22"/>
              </w:rPr>
              <w:t>受审核部门：人事行政部     主管领导：</w:t>
            </w:r>
            <w:r>
              <w:rPr>
                <w:rFonts w:hint="eastAsia"/>
              </w:rPr>
              <w:t>王晓</w:t>
            </w:r>
            <w:r>
              <w:t>燕</w:t>
            </w:r>
            <w:r>
              <w:rPr>
                <w:rFonts w:hint="eastAsia"/>
                <w:szCs w:val="22"/>
              </w:rPr>
              <w:t xml:space="preserve">   陪同人员：谢雪琴</w:t>
            </w:r>
          </w:p>
        </w:tc>
        <w:tc>
          <w:tcPr>
            <w:tcW w:w="993" w:type="dxa"/>
            <w:vMerge w:val="restart"/>
            <w:vAlign w:val="center"/>
          </w:tcPr>
          <w:p>
            <w:pPr>
              <w:spacing w:line="360" w:lineRule="auto"/>
              <w:rPr>
                <w:rFonts w:ascii="楷体" w:hAnsi="楷体" w:eastAsia="楷体"/>
                <w:sz w:val="24"/>
                <w:szCs w:val="24"/>
              </w:rPr>
            </w:pPr>
            <w:r>
              <w:rPr>
                <w:rFonts w:hint="eastAsia" w:ascii="楷体" w:hAnsi="楷体" w:eastAsia="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809" w:type="dxa"/>
            <w:vMerge w:val="continue"/>
            <w:vAlign w:val="center"/>
          </w:tcPr>
          <w:p>
            <w:pPr>
              <w:rPr>
                <w:szCs w:val="22"/>
              </w:rPr>
            </w:pPr>
          </w:p>
        </w:tc>
        <w:tc>
          <w:tcPr>
            <w:tcW w:w="1311" w:type="dxa"/>
            <w:vMerge w:val="continue"/>
            <w:vAlign w:val="center"/>
          </w:tcPr>
          <w:p>
            <w:pPr>
              <w:rPr>
                <w:szCs w:val="22"/>
              </w:rPr>
            </w:pPr>
          </w:p>
        </w:tc>
        <w:tc>
          <w:tcPr>
            <w:tcW w:w="10596" w:type="dxa"/>
            <w:vAlign w:val="center"/>
          </w:tcPr>
          <w:p>
            <w:pPr>
              <w:rPr>
                <w:szCs w:val="22"/>
              </w:rPr>
            </w:pPr>
            <w:r>
              <w:rPr>
                <w:rFonts w:hint="eastAsia"/>
                <w:szCs w:val="22"/>
              </w:rPr>
              <w:t>审核员：邝</w:t>
            </w:r>
            <w:r>
              <w:rPr>
                <w:szCs w:val="22"/>
              </w:rPr>
              <w:t>柏臣</w:t>
            </w:r>
            <w:r>
              <w:rPr>
                <w:rFonts w:hint="eastAsia"/>
                <w:szCs w:val="22"/>
              </w:rPr>
              <w:t xml:space="preserve">       审核时间：202</w:t>
            </w:r>
            <w:r>
              <w:rPr>
                <w:szCs w:val="22"/>
              </w:rPr>
              <w:t>2</w:t>
            </w:r>
            <w:r>
              <w:rPr>
                <w:rFonts w:hint="eastAsia"/>
                <w:szCs w:val="22"/>
              </w:rPr>
              <w:t>年8月</w:t>
            </w:r>
            <w:r>
              <w:rPr>
                <w:szCs w:val="22"/>
              </w:rPr>
              <w:t>17</w:t>
            </w:r>
            <w:r>
              <w:rPr>
                <w:rFonts w:hint="eastAsia"/>
                <w:szCs w:val="22"/>
              </w:rPr>
              <w:t>日</w:t>
            </w:r>
          </w:p>
        </w:tc>
        <w:tc>
          <w:tcPr>
            <w:tcW w:w="993" w:type="dxa"/>
            <w:vMerge w:val="continue"/>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Merge w:val="continue"/>
            <w:vAlign w:val="center"/>
          </w:tcPr>
          <w:p>
            <w:pPr>
              <w:rPr>
                <w:szCs w:val="22"/>
              </w:rPr>
            </w:pPr>
          </w:p>
        </w:tc>
        <w:tc>
          <w:tcPr>
            <w:tcW w:w="1311" w:type="dxa"/>
            <w:vMerge w:val="continue"/>
            <w:vAlign w:val="center"/>
          </w:tcPr>
          <w:p>
            <w:pPr>
              <w:rPr>
                <w:szCs w:val="22"/>
              </w:rPr>
            </w:pPr>
          </w:p>
        </w:tc>
        <w:tc>
          <w:tcPr>
            <w:tcW w:w="10596" w:type="dxa"/>
            <w:vAlign w:val="center"/>
          </w:tcPr>
          <w:p>
            <w:pPr>
              <w:rPr>
                <w:szCs w:val="22"/>
              </w:rPr>
            </w:pPr>
            <w:r>
              <w:rPr>
                <w:rFonts w:hint="eastAsia"/>
                <w:szCs w:val="22"/>
              </w:rPr>
              <w:t>审核条款：</w:t>
            </w:r>
            <w:r>
              <w:rPr>
                <w:rFonts w:hint="eastAsia" w:ascii="宋体" w:hAnsi="宋体" w:cs="Arial"/>
                <w:szCs w:val="21"/>
              </w:rPr>
              <w:t>Q5.3、6.2</w:t>
            </w:r>
          </w:p>
        </w:tc>
        <w:tc>
          <w:tcPr>
            <w:tcW w:w="993" w:type="dxa"/>
            <w:vMerge w:val="continue"/>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9" w:type="dxa"/>
            <w:vAlign w:val="center"/>
          </w:tcPr>
          <w:p>
            <w:pPr>
              <w:rPr>
                <w:szCs w:val="22"/>
              </w:rPr>
            </w:pPr>
            <w:r>
              <w:rPr>
                <w:rFonts w:hint="eastAsia"/>
                <w:szCs w:val="22"/>
              </w:rPr>
              <w:t>组织的岗位、职责和权限</w:t>
            </w:r>
          </w:p>
        </w:tc>
        <w:tc>
          <w:tcPr>
            <w:tcW w:w="1311" w:type="dxa"/>
            <w:vAlign w:val="center"/>
          </w:tcPr>
          <w:p>
            <w:pPr>
              <w:rPr>
                <w:szCs w:val="22"/>
              </w:rPr>
            </w:pPr>
            <w:r>
              <w:rPr>
                <w:rFonts w:hint="eastAsia"/>
                <w:szCs w:val="22"/>
              </w:rPr>
              <w:t>Q5.3</w:t>
            </w:r>
          </w:p>
        </w:tc>
        <w:tc>
          <w:tcPr>
            <w:tcW w:w="10596" w:type="dxa"/>
            <w:vAlign w:val="center"/>
          </w:tcPr>
          <w:p>
            <w:pPr>
              <w:rPr>
                <w:szCs w:val="22"/>
              </w:rPr>
            </w:pPr>
            <w:r>
              <w:rPr>
                <w:rFonts w:hint="eastAsia"/>
                <w:szCs w:val="22"/>
              </w:rPr>
              <w:t>人事行政部主要负责公司主要负责编制岗位说明书，负责培训计划的制定及监督实施，负责组织培训有效性评估工作、新入员工的教育培训及统筹管理全厂培训；负责识别本部门的环境因素，负责一般办公、劳保废弃物统计处置。经询问，部门人员明确本部门职责。</w:t>
            </w:r>
          </w:p>
          <w:p>
            <w:pPr>
              <w:rPr>
                <w:szCs w:val="22"/>
              </w:rPr>
            </w:pPr>
            <w:r>
              <w:rPr>
                <w:rFonts w:hint="eastAsia"/>
                <w:szCs w:val="22"/>
              </w:rPr>
              <w:t>有公司岗位说明书，岗位说明书中对品控部、人事行政部、工厂经理、技术工程部，物流部、生产部、财务部均有单独说明。符合要求。</w:t>
            </w:r>
          </w:p>
        </w:tc>
        <w:tc>
          <w:tcPr>
            <w:tcW w:w="993" w:type="dxa"/>
            <w:vAlign w:val="center"/>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pPr>
              <w:spacing w:line="360" w:lineRule="auto"/>
              <w:rPr>
                <w:rFonts w:ascii="楷体" w:hAnsi="楷体" w:eastAsia="楷体"/>
                <w:b/>
                <w:sz w:val="24"/>
                <w:szCs w:val="24"/>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1809" w:type="dxa"/>
            <w:vAlign w:val="center"/>
          </w:tcPr>
          <w:p>
            <w:pPr>
              <w:rPr>
                <w:szCs w:val="22"/>
              </w:rPr>
            </w:pPr>
            <w:r>
              <w:rPr>
                <w:rFonts w:hint="eastAsia"/>
                <w:szCs w:val="22"/>
              </w:rPr>
              <w:t>目标</w:t>
            </w:r>
          </w:p>
        </w:tc>
        <w:tc>
          <w:tcPr>
            <w:tcW w:w="1311" w:type="dxa"/>
            <w:vAlign w:val="center"/>
          </w:tcPr>
          <w:p>
            <w:pPr>
              <w:rPr>
                <w:szCs w:val="22"/>
              </w:rPr>
            </w:pPr>
            <w:r>
              <w:rPr>
                <w:szCs w:val="22"/>
              </w:rPr>
              <w:t>Q</w:t>
            </w:r>
            <w:r>
              <w:rPr>
                <w:rFonts w:hint="eastAsia"/>
                <w:szCs w:val="22"/>
              </w:rPr>
              <w:t>6.2</w:t>
            </w:r>
          </w:p>
        </w:tc>
        <w:tc>
          <w:tcPr>
            <w:tcW w:w="10596"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人事行政部环境主要目标为</w:t>
            </w:r>
          </w:p>
          <w:p>
            <w:pPr>
              <w:rPr>
                <w:rFonts w:asciiTheme="minorEastAsia" w:hAnsiTheme="minorEastAsia" w:eastAsiaTheme="minorEastAsia"/>
                <w:szCs w:val="21"/>
              </w:rPr>
            </w:pPr>
            <w:r>
              <w:rPr>
                <w:rFonts w:hint="eastAsia" w:asciiTheme="minorEastAsia" w:hAnsiTheme="minorEastAsia" w:eastAsiaTheme="minorEastAsia"/>
                <w:szCs w:val="21"/>
              </w:rPr>
              <w:t>查202</w:t>
            </w:r>
            <w:r>
              <w:rPr>
                <w:rFonts w:asciiTheme="minorEastAsia" w:hAnsiTheme="minorEastAsia" w:eastAsiaTheme="minorEastAsia"/>
                <w:szCs w:val="21"/>
              </w:rPr>
              <w:t>2</w:t>
            </w:r>
            <w:r>
              <w:rPr>
                <w:rFonts w:hint="eastAsia" w:asciiTheme="minorEastAsia" w:hAnsiTheme="minorEastAsia" w:eastAsiaTheme="minorEastAsia"/>
                <w:szCs w:val="21"/>
              </w:rPr>
              <w:t>年1-6月的统计显示：</w:t>
            </w:r>
          </w:p>
          <w:p>
            <w:pPr>
              <w:pStyle w:val="17"/>
              <w:ind w:right="90"/>
              <w:rPr>
                <w:rFonts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1.培训完成率为100</w:t>
            </w:r>
            <w:r>
              <w:rPr>
                <w:rFonts w:cs="宋体" w:asciiTheme="minorEastAsia" w:hAnsiTheme="minorEastAsia" w:eastAsiaTheme="minorEastAsia"/>
                <w:sz w:val="21"/>
                <w:szCs w:val="21"/>
                <w:lang w:eastAsia="zh-CN"/>
              </w:rPr>
              <w:t>%</w:t>
            </w:r>
            <w:r>
              <w:rPr>
                <w:rFonts w:hint="eastAsia" w:cs="宋体" w:asciiTheme="minorEastAsia" w:hAnsiTheme="minorEastAsia" w:eastAsiaTheme="minorEastAsia"/>
                <w:sz w:val="21"/>
                <w:szCs w:val="21"/>
                <w:lang w:eastAsia="zh-CN"/>
              </w:rPr>
              <w:t>，目标为</w:t>
            </w:r>
            <w:r>
              <w:rPr>
                <w:rFonts w:asciiTheme="minorEastAsia" w:hAnsiTheme="minorEastAsia" w:eastAsiaTheme="minorEastAsia"/>
                <w:sz w:val="21"/>
                <w:szCs w:val="21"/>
                <w:lang w:eastAsia="zh-CN"/>
              </w:rPr>
              <w:t>=100%</w:t>
            </w:r>
            <w:r>
              <w:rPr>
                <w:rFonts w:hint="eastAsia" w:asciiTheme="minorEastAsia" w:hAnsiTheme="minorEastAsia" w:eastAsiaTheme="minorEastAsia"/>
                <w:sz w:val="21"/>
                <w:szCs w:val="21"/>
                <w:lang w:eastAsia="zh-CN"/>
              </w:rPr>
              <w:t>，</w:t>
            </w:r>
            <w:r>
              <w:rPr>
                <w:rFonts w:cs="宋体" w:asciiTheme="minorEastAsia" w:hAnsiTheme="minorEastAsia" w:eastAsiaTheme="minorEastAsia"/>
                <w:sz w:val="21"/>
                <w:szCs w:val="21"/>
                <w:lang w:eastAsia="zh-CN"/>
              </w:rPr>
              <w:t>已</w:t>
            </w:r>
            <w:r>
              <w:rPr>
                <w:rFonts w:hint="eastAsia" w:cs="宋体" w:asciiTheme="minorEastAsia" w:hAnsiTheme="minorEastAsia" w:eastAsiaTheme="minorEastAsia"/>
                <w:sz w:val="21"/>
                <w:szCs w:val="21"/>
                <w:lang w:eastAsia="zh-CN"/>
              </w:rPr>
              <w:t>达标</w:t>
            </w:r>
            <w:r>
              <w:rPr>
                <w:rFonts w:cs="宋体" w:asciiTheme="minorEastAsia" w:hAnsiTheme="minorEastAsia" w:eastAsiaTheme="minorEastAsia"/>
                <w:sz w:val="21"/>
                <w:szCs w:val="21"/>
                <w:lang w:eastAsia="zh-CN"/>
              </w:rPr>
              <w:t>；</w:t>
            </w:r>
          </w:p>
          <w:p>
            <w:pPr>
              <w:pStyle w:val="17"/>
              <w:ind w:right="90"/>
              <w:rPr>
                <w:rFonts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2.</w:t>
            </w:r>
            <w:r>
              <w:rPr>
                <w:rFonts w:hint="eastAsia" w:asciiTheme="minorEastAsia" w:hAnsiTheme="minorEastAsia" w:eastAsiaTheme="minorEastAsia"/>
                <w:sz w:val="21"/>
                <w:szCs w:val="21"/>
                <w:lang w:eastAsia="zh-CN"/>
              </w:rPr>
              <w:t>员工招聘及时率为</w:t>
            </w:r>
            <w:r>
              <w:rPr>
                <w:rFonts w:asciiTheme="minorEastAsia" w:hAnsiTheme="minorEastAsia" w:eastAsiaTheme="minorEastAsia"/>
                <w:sz w:val="21"/>
                <w:szCs w:val="21"/>
                <w:lang w:eastAsia="zh-CN"/>
              </w:rPr>
              <w:t>96.7%，</w:t>
            </w:r>
            <w:r>
              <w:rPr>
                <w:rFonts w:hint="eastAsia" w:asciiTheme="minorEastAsia" w:hAnsiTheme="minorEastAsia" w:eastAsiaTheme="minorEastAsia"/>
                <w:sz w:val="21"/>
                <w:szCs w:val="21"/>
                <w:lang w:eastAsia="zh-CN"/>
              </w:rPr>
              <w:t>目标为≥80％，已达标；</w:t>
            </w:r>
          </w:p>
          <w:p>
            <w:pPr>
              <w:pStyle w:val="17"/>
              <w:ind w:right="90"/>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3.</w:t>
            </w:r>
            <w:r>
              <w:rPr>
                <w:rFonts w:hint="eastAsia" w:asciiTheme="minorEastAsia" w:hAnsiTheme="minorEastAsia" w:eastAsiaTheme="minorEastAsia"/>
                <w:sz w:val="21"/>
                <w:szCs w:val="21"/>
                <w:lang w:eastAsia="zh-CN"/>
              </w:rPr>
              <w:t>离职率为</w:t>
            </w:r>
            <w:r>
              <w:rPr>
                <w:rFonts w:asciiTheme="minorEastAsia" w:hAnsiTheme="minorEastAsia" w:eastAsiaTheme="minorEastAsia"/>
                <w:sz w:val="21"/>
                <w:szCs w:val="21"/>
                <w:lang w:eastAsia="zh-CN"/>
              </w:rPr>
              <w:t>1.67%，</w:t>
            </w:r>
            <w:r>
              <w:rPr>
                <w:rFonts w:hint="eastAsia" w:asciiTheme="minorEastAsia" w:hAnsiTheme="minorEastAsia" w:eastAsiaTheme="minorEastAsia"/>
                <w:sz w:val="21"/>
                <w:szCs w:val="21"/>
                <w:lang w:eastAsia="zh-CN"/>
              </w:rPr>
              <w:t>目标为</w:t>
            </w:r>
            <w:r>
              <w:rPr>
                <w:rFonts w:asciiTheme="minorEastAsia" w:hAnsiTheme="minorEastAsia" w:eastAsiaTheme="minorEastAsia"/>
                <w:sz w:val="21"/>
                <w:szCs w:val="21"/>
                <w:lang w:eastAsia="zh-CN"/>
              </w:rPr>
              <w:t>&lt;5%</w:t>
            </w:r>
            <w:r>
              <w:rPr>
                <w:rFonts w:hint="eastAsia" w:asciiTheme="minorEastAsia" w:hAnsiTheme="minorEastAsia" w:eastAsiaTheme="minorEastAsia"/>
                <w:sz w:val="21"/>
                <w:szCs w:val="21"/>
                <w:lang w:eastAsia="zh-CN"/>
              </w:rPr>
              <w:t>，</w:t>
            </w:r>
            <w:r>
              <w:rPr>
                <w:rFonts w:asciiTheme="minorEastAsia" w:hAnsiTheme="minorEastAsia" w:eastAsiaTheme="minorEastAsia"/>
                <w:sz w:val="21"/>
                <w:szCs w:val="21"/>
                <w:lang w:eastAsia="zh-CN"/>
              </w:rPr>
              <w:t>已</w:t>
            </w:r>
            <w:r>
              <w:rPr>
                <w:rFonts w:hint="eastAsia" w:asciiTheme="minorEastAsia" w:hAnsiTheme="minorEastAsia" w:eastAsiaTheme="minorEastAsia"/>
                <w:sz w:val="21"/>
                <w:szCs w:val="21"/>
                <w:lang w:eastAsia="zh-CN"/>
              </w:rPr>
              <w:t>达标；</w:t>
            </w:r>
          </w:p>
          <w:tbl>
            <w:tblPr>
              <w:tblStyle w:val="7"/>
              <w:tblpPr w:leftFromText="180" w:rightFromText="180" w:vertAnchor="page" w:horzAnchor="margin" w:tblpY="176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2497"/>
              <w:gridCol w:w="962"/>
              <w:gridCol w:w="3165"/>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148" w:type="dxa"/>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人事</w:t>
                  </w:r>
                </w:p>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行政部</w:t>
                  </w:r>
                </w:p>
              </w:tc>
              <w:tc>
                <w:tcPr>
                  <w:tcW w:w="2497" w:type="dxa"/>
                  <w:vAlign w:val="center"/>
                </w:tcPr>
                <w:p>
                  <w:pPr>
                    <w:pStyle w:val="3"/>
                    <w:spacing w:line="240" w:lineRule="exact"/>
                    <w:ind w:left="0" w:leftChars="0"/>
                    <w:jc w:val="center"/>
                    <w:rPr>
                      <w:rFonts w:asciiTheme="minorEastAsia" w:hAnsiTheme="minorEastAsia" w:eastAsiaTheme="minorEastAsia"/>
                      <w:szCs w:val="21"/>
                    </w:rPr>
                  </w:pPr>
                  <w:r>
                    <w:rPr>
                      <w:rFonts w:hint="eastAsia" w:asciiTheme="minorEastAsia" w:hAnsiTheme="minorEastAsia" w:eastAsiaTheme="minorEastAsia"/>
                      <w:szCs w:val="21"/>
                    </w:rPr>
                    <w:t>培训完成率</w:t>
                  </w:r>
                  <w:r>
                    <w:rPr>
                      <w:rFonts w:asciiTheme="minorEastAsia" w:hAnsiTheme="minorEastAsia" w:eastAsiaTheme="minorEastAsia"/>
                      <w:szCs w:val="21"/>
                    </w:rPr>
                    <w:t>=100%</w:t>
                  </w:r>
                </w:p>
              </w:tc>
              <w:tc>
                <w:tcPr>
                  <w:tcW w:w="962" w:type="dxa"/>
                  <w:vAlign w:val="center"/>
                </w:tcPr>
                <w:p>
                  <w:pPr>
                    <w:pStyle w:val="3"/>
                    <w:spacing w:line="240" w:lineRule="exact"/>
                    <w:ind w:left="0" w:leftChars="0"/>
                    <w:jc w:val="center"/>
                    <w:rPr>
                      <w:rFonts w:asciiTheme="minorEastAsia" w:hAnsiTheme="minorEastAsia" w:eastAsiaTheme="minorEastAsia"/>
                      <w:szCs w:val="21"/>
                    </w:rPr>
                  </w:pPr>
                  <w:r>
                    <w:rPr>
                      <w:rFonts w:hint="eastAsia" w:asciiTheme="minorEastAsia" w:hAnsiTheme="minorEastAsia" w:eastAsiaTheme="minorEastAsia"/>
                      <w:szCs w:val="21"/>
                    </w:rPr>
                    <w:t>每月</w:t>
                  </w:r>
                </w:p>
              </w:tc>
              <w:tc>
                <w:tcPr>
                  <w:tcW w:w="3165" w:type="dxa"/>
                  <w:vAlign w:val="center"/>
                </w:tcPr>
                <w:p>
                  <w:pPr>
                    <w:pStyle w:val="3"/>
                    <w:spacing w:line="240" w:lineRule="exact"/>
                    <w:ind w:left="0" w:leftChars="0"/>
                    <w:jc w:val="center"/>
                    <w:rPr>
                      <w:rFonts w:asciiTheme="minorEastAsia" w:hAnsiTheme="minorEastAsia" w:eastAsiaTheme="minorEastAsia"/>
                      <w:szCs w:val="21"/>
                    </w:rPr>
                  </w:pPr>
                  <w:r>
                    <w:rPr>
                      <w:rFonts w:hint="eastAsia" w:asciiTheme="minorEastAsia" w:hAnsiTheme="minorEastAsia" w:eastAsiaTheme="minorEastAsia"/>
                      <w:szCs w:val="21"/>
                    </w:rPr>
                    <w:t>当月培训人数</w:t>
                  </w:r>
                  <w:r>
                    <w:rPr>
                      <w:rFonts w:asciiTheme="minorEastAsia" w:hAnsiTheme="minorEastAsia" w:eastAsiaTheme="minorEastAsia"/>
                      <w:szCs w:val="21"/>
                    </w:rPr>
                    <w:t>/</w:t>
                  </w:r>
                  <w:r>
                    <w:rPr>
                      <w:rFonts w:hint="eastAsia" w:asciiTheme="minorEastAsia" w:hAnsiTheme="minorEastAsia" w:eastAsiaTheme="minorEastAsia"/>
                      <w:szCs w:val="21"/>
                    </w:rPr>
                    <w:t>当月入职人数×</w:t>
                  </w:r>
                  <w:r>
                    <w:rPr>
                      <w:rFonts w:asciiTheme="minorEastAsia" w:hAnsiTheme="minorEastAsia" w:eastAsiaTheme="minorEastAsia"/>
                      <w:szCs w:val="21"/>
                    </w:rPr>
                    <w:t>100</w:t>
                  </w:r>
                  <w:r>
                    <w:rPr>
                      <w:rFonts w:hint="eastAsia" w:asciiTheme="minorEastAsia" w:hAnsiTheme="minorEastAsia" w:eastAsiaTheme="minorEastAsia"/>
                      <w:szCs w:val="21"/>
                    </w:rPr>
                    <w:t>％</w:t>
                  </w:r>
                </w:p>
              </w:tc>
              <w:tc>
                <w:tcPr>
                  <w:tcW w:w="1316" w:type="dxa"/>
                  <w:vAlign w:val="center"/>
                </w:tcPr>
                <w:p>
                  <w:pPr>
                    <w:pStyle w:val="3"/>
                    <w:spacing w:line="240" w:lineRule="exact"/>
                    <w:ind w:left="0" w:leftChars="0"/>
                    <w:jc w:val="center"/>
                    <w:rPr>
                      <w:rFonts w:asciiTheme="minorEastAsia" w:hAnsiTheme="minorEastAsia" w:eastAsiaTheme="minorEastAsia"/>
                      <w:szCs w:val="21"/>
                    </w:rPr>
                  </w:pPr>
                  <w:r>
                    <w:rPr>
                      <w:rFonts w:hint="eastAsia" w:asciiTheme="minorEastAsia" w:hAnsiTheme="minorEastAsia" w:eastAsiaTheme="minorEastAsia"/>
                      <w:szCs w:val="21"/>
                    </w:rPr>
                    <w:t>人事行政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148" w:type="dxa"/>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人事</w:t>
                  </w:r>
                </w:p>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行政部</w:t>
                  </w:r>
                </w:p>
              </w:tc>
              <w:tc>
                <w:tcPr>
                  <w:tcW w:w="2497" w:type="dxa"/>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员工招聘及时率≥80％</w:t>
                  </w:r>
                </w:p>
              </w:tc>
              <w:tc>
                <w:tcPr>
                  <w:tcW w:w="962" w:type="dxa"/>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每月</w:t>
                  </w:r>
                </w:p>
              </w:tc>
              <w:tc>
                <w:tcPr>
                  <w:tcW w:w="3165" w:type="dxa"/>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当月实际按时招聘人数 / 当月各部门申请人数×100％（特指生产员工）</w:t>
                  </w:r>
                </w:p>
              </w:tc>
              <w:tc>
                <w:tcPr>
                  <w:tcW w:w="1316" w:type="dxa"/>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人事行政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148" w:type="dxa"/>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人事</w:t>
                  </w:r>
                </w:p>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行政部</w:t>
                  </w:r>
                </w:p>
              </w:tc>
              <w:tc>
                <w:tcPr>
                  <w:tcW w:w="2497" w:type="dxa"/>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离职率</w:t>
                  </w:r>
                  <w:r>
                    <w:rPr>
                      <w:rFonts w:asciiTheme="minorEastAsia" w:hAnsiTheme="minorEastAsia" w:eastAsiaTheme="minorEastAsia"/>
                      <w:szCs w:val="21"/>
                    </w:rPr>
                    <w:t>&lt;5%</w:t>
                  </w:r>
                </w:p>
              </w:tc>
              <w:tc>
                <w:tcPr>
                  <w:tcW w:w="962" w:type="dxa"/>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每月</w:t>
                  </w:r>
                </w:p>
              </w:tc>
              <w:tc>
                <w:tcPr>
                  <w:tcW w:w="3165" w:type="dxa"/>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离职人数</w:t>
                  </w:r>
                  <w:r>
                    <w:rPr>
                      <w:rFonts w:asciiTheme="minorEastAsia" w:hAnsiTheme="minorEastAsia" w:eastAsiaTheme="minorEastAsia"/>
                      <w:szCs w:val="21"/>
                    </w:rPr>
                    <w:t>/</w:t>
                  </w:r>
                  <w:r>
                    <w:rPr>
                      <w:rFonts w:hint="eastAsia" w:asciiTheme="minorEastAsia" w:hAnsiTheme="minorEastAsia" w:eastAsiaTheme="minorEastAsia"/>
                      <w:szCs w:val="21"/>
                    </w:rPr>
                    <w:t>工厂总人数×</w:t>
                  </w:r>
                  <w:r>
                    <w:rPr>
                      <w:rFonts w:asciiTheme="minorEastAsia" w:hAnsiTheme="minorEastAsia" w:eastAsiaTheme="minorEastAsia"/>
                      <w:szCs w:val="21"/>
                    </w:rPr>
                    <w:t>100</w:t>
                  </w:r>
                  <w:r>
                    <w:rPr>
                      <w:rFonts w:hint="eastAsia" w:asciiTheme="minorEastAsia" w:hAnsiTheme="minorEastAsia" w:eastAsiaTheme="minorEastAsia"/>
                      <w:szCs w:val="21"/>
                    </w:rPr>
                    <w:t>％</w:t>
                  </w:r>
                </w:p>
              </w:tc>
              <w:tc>
                <w:tcPr>
                  <w:tcW w:w="1316" w:type="dxa"/>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人事行政</w:t>
                  </w:r>
                </w:p>
              </w:tc>
            </w:tr>
          </w:tbl>
          <w:p>
            <w:pPr>
              <w:rPr>
                <w:szCs w:val="22"/>
              </w:rPr>
            </w:pPr>
          </w:p>
        </w:tc>
        <w:tc>
          <w:tcPr>
            <w:tcW w:w="993" w:type="dxa"/>
            <w:vAlign w:val="center"/>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pPr>
              <w:spacing w:line="360" w:lineRule="auto"/>
              <w:rPr>
                <w:rFonts w:ascii="楷体" w:hAnsi="楷体" w:eastAsia="楷体"/>
                <w:b/>
                <w:sz w:val="24"/>
                <w:szCs w:val="24"/>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1809" w:type="dxa"/>
            <w:vAlign w:val="center"/>
          </w:tcPr>
          <w:p>
            <w:pPr>
              <w:rPr>
                <w:rFonts w:hint="eastAsia"/>
                <w:szCs w:val="22"/>
              </w:rPr>
            </w:pPr>
            <w:r>
              <w:rPr>
                <w:rFonts w:hint="eastAsia"/>
                <w:szCs w:val="21"/>
              </w:rPr>
              <w:t>风险与机遇控制</w:t>
            </w:r>
          </w:p>
        </w:tc>
        <w:tc>
          <w:tcPr>
            <w:tcW w:w="1311" w:type="dxa"/>
            <w:vAlign w:val="center"/>
          </w:tcPr>
          <w:p>
            <w:pPr>
              <w:rPr>
                <w:rFonts w:hint="default" w:eastAsia="宋体"/>
                <w:szCs w:val="22"/>
                <w:lang w:val="en-US" w:eastAsia="zh-CN"/>
              </w:rPr>
            </w:pPr>
            <w:r>
              <w:rPr>
                <w:rFonts w:hint="eastAsia"/>
                <w:szCs w:val="22"/>
                <w:lang w:val="en-US" w:eastAsia="zh-CN"/>
              </w:rPr>
              <w:t>Q6.1</w:t>
            </w:r>
          </w:p>
        </w:tc>
        <w:tc>
          <w:tcPr>
            <w:tcW w:w="10596" w:type="dxa"/>
            <w:vAlign w:val="center"/>
          </w:tcPr>
          <w:p>
            <w:r>
              <w:rPr>
                <w:rFonts w:hint="eastAsia"/>
              </w:rPr>
              <w:t>公司推行管理体系的目的就是提高公司市场准入。总经理确定与本公司管理目标和战略方向相关并影响实现管理体系预期结果的各种内部因素和外部因素（国际、国家、地区和当地的各种法律法规、技术、竞争、文化和社会因素等）。这些因素包括了需要考虑的正面和负面因素或条件。公司每年办公室根据由公司销售人员从市场、客户、网络等搜集到的信息并结合公司自身业务运作情况进行分析，通过分析对这些内部和外部因素的相关信息进行监视和评审以确保其充分和适宜。</w:t>
            </w:r>
            <w:bookmarkStart w:id="0" w:name="_GoBack"/>
            <w:bookmarkEnd w:id="0"/>
          </w:p>
          <w:p>
            <w:pPr>
              <w:rPr>
                <w:szCs w:val="21"/>
              </w:rPr>
            </w:pPr>
            <w:r>
              <w:rPr>
                <w:rFonts w:hint="eastAsia"/>
                <w:szCs w:val="21"/>
              </w:rPr>
              <w:t>提供风险和机遇应对措施表：</w:t>
            </w:r>
          </w:p>
          <w:p>
            <w:pPr>
              <w:rPr>
                <w:szCs w:val="21"/>
              </w:rPr>
            </w:pPr>
            <w:r>
              <w:rPr>
                <w:rFonts w:hint="eastAsia"/>
                <w:szCs w:val="21"/>
              </w:rPr>
              <w:t>风险：本区域同行多竞争压力大。</w:t>
            </w:r>
          </w:p>
          <w:p>
            <w:pPr>
              <w:rPr>
                <w:szCs w:val="21"/>
              </w:rPr>
            </w:pPr>
            <w:r>
              <w:rPr>
                <w:rFonts w:hint="eastAsia"/>
                <w:szCs w:val="21"/>
              </w:rPr>
              <w:t>机遇：内部推行精益生产，加强客户服务</w:t>
            </w:r>
          </w:p>
          <w:p>
            <w:pPr>
              <w:rPr>
                <w:szCs w:val="21"/>
              </w:rPr>
            </w:pPr>
            <w:r>
              <w:rPr>
                <w:rFonts w:hint="eastAsia"/>
                <w:szCs w:val="21"/>
              </w:rPr>
              <w:t>风险：大同行价</w:t>
            </w:r>
            <w:r>
              <w:rPr>
                <w:szCs w:val="21"/>
              </w:rPr>
              <w:t>格低于</w:t>
            </w:r>
            <w:r>
              <w:rPr>
                <w:rFonts w:hint="eastAsia"/>
                <w:szCs w:val="21"/>
              </w:rPr>
              <w:t>企业</w:t>
            </w:r>
            <w:r>
              <w:rPr>
                <w:szCs w:val="21"/>
              </w:rPr>
              <w:t>自身价格</w:t>
            </w:r>
            <w:r>
              <w:rPr>
                <w:rFonts w:hint="eastAsia"/>
                <w:szCs w:val="21"/>
              </w:rPr>
              <w:t>，</w:t>
            </w:r>
            <w:r>
              <w:rPr>
                <w:szCs w:val="21"/>
              </w:rPr>
              <w:t>没有竞争优势</w:t>
            </w:r>
            <w:r>
              <w:rPr>
                <w:rFonts w:hint="eastAsia"/>
                <w:szCs w:val="21"/>
              </w:rPr>
              <w:t>;</w:t>
            </w:r>
            <w:r>
              <w:rPr>
                <w:rFonts w:hint="eastAsia"/>
              </w:rPr>
              <w:t xml:space="preserve"> </w:t>
            </w:r>
            <w:r>
              <w:rPr>
                <w:rFonts w:hint="eastAsia"/>
                <w:szCs w:val="21"/>
              </w:rPr>
              <w:t>员工年龄大，文化水平低，但经验丰富;</w:t>
            </w:r>
          </w:p>
          <w:p>
            <w:pPr>
              <w:rPr>
                <w:szCs w:val="21"/>
              </w:rPr>
            </w:pPr>
            <w:r>
              <w:rPr>
                <w:rFonts w:hint="eastAsia"/>
                <w:szCs w:val="21"/>
              </w:rPr>
              <w:t>机遇：市场</w:t>
            </w:r>
            <w:r>
              <w:rPr>
                <w:szCs w:val="21"/>
              </w:rPr>
              <w:t>稳定，主要客户在欧州区域，需求</w:t>
            </w:r>
            <w:r>
              <w:rPr>
                <w:rFonts w:hint="eastAsia"/>
                <w:szCs w:val="21"/>
              </w:rPr>
              <w:t>相</w:t>
            </w:r>
            <w:r>
              <w:rPr>
                <w:szCs w:val="21"/>
              </w:rPr>
              <w:t>对较</w:t>
            </w:r>
            <w:r>
              <w:rPr>
                <w:rFonts w:hint="eastAsia"/>
                <w:szCs w:val="21"/>
              </w:rPr>
              <w:t>稳</w:t>
            </w:r>
            <w:r>
              <w:rPr>
                <w:szCs w:val="21"/>
              </w:rPr>
              <w:t>。</w:t>
            </w:r>
          </w:p>
          <w:p>
            <w:pPr>
              <w:rPr>
                <w:szCs w:val="21"/>
              </w:rPr>
            </w:pPr>
          </w:p>
          <w:p>
            <w:pPr>
              <w:rPr>
                <w:szCs w:val="21"/>
              </w:rPr>
            </w:pPr>
            <w:r>
              <w:rPr>
                <w:rFonts w:hint="eastAsia"/>
                <w:szCs w:val="21"/>
              </w:rPr>
              <w:t>措施：</w:t>
            </w:r>
          </w:p>
          <w:p>
            <w:r>
              <w:rPr>
                <w:rFonts w:hint="eastAsia"/>
              </w:rPr>
              <w:t xml:space="preserve">1.导入更多自动化生产设备，降低生产成本; </w:t>
            </w:r>
          </w:p>
          <w:p>
            <w:r>
              <w:rPr>
                <w:rFonts w:hint="eastAsia"/>
              </w:rPr>
              <w:t>2.加强员工培训，提高员工技能</w:t>
            </w:r>
          </w:p>
          <w:p>
            <w:pPr>
              <w:rPr>
                <w:szCs w:val="21"/>
              </w:rPr>
            </w:pPr>
            <w:r>
              <w:rPr>
                <w:rFonts w:hint="eastAsia"/>
                <w:szCs w:val="21"/>
              </w:rPr>
              <w:t>对公司影响较大的大宗原材料做好年度采购计划</w:t>
            </w:r>
          </w:p>
          <w:p>
            <w:pPr>
              <w:rPr>
                <w:szCs w:val="22"/>
              </w:rPr>
            </w:pPr>
            <w:r>
              <w:rPr>
                <w:rFonts w:hint="eastAsia"/>
                <w:szCs w:val="21"/>
              </w:rPr>
              <w:t>风险与机遇识别基本充分，有效。</w:t>
            </w:r>
          </w:p>
        </w:tc>
        <w:tc>
          <w:tcPr>
            <w:tcW w:w="993" w:type="dxa"/>
            <w:vAlign w:val="center"/>
          </w:tcPr>
          <w:p>
            <w:pPr>
              <w:spacing w:line="360" w:lineRule="auto"/>
              <w:rPr>
                <w:rFonts w:ascii="宋体" w:hAnsi="宋体"/>
              </w:rPr>
            </w:pPr>
          </w:p>
        </w:tc>
      </w:tr>
    </w:tbl>
    <w:p>
      <w:pPr>
        <w:rPr>
          <w:rFonts w:ascii="楷体" w:hAnsi="楷体" w:eastAsia="楷体"/>
        </w:rPr>
      </w:pPr>
      <w:r>
        <w:rPr>
          <w:rFonts w:hint="eastAsia"/>
          <w:szCs w:val="22"/>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roid Sans Fallback">
    <w:altName w:val="Arial"/>
    <w:panose1 w:val="00000000000000000000"/>
    <w:charset w:val="00"/>
    <w:family w:val="swiss"/>
    <w:pitch w:val="default"/>
    <w:sig w:usb0="00000000" w:usb1="00000000" w:usb2="00000000" w:usb3="00000000" w:csb0="0000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rPr>
        <w:rFonts w:ascii="宋体" w:hAnsi="Courier New"/>
      </w:rPr>
      <w:drawing>
        <wp:anchor distT="0" distB="0" distL="114300" distR="114300" simplePos="0" relativeHeight="251660288" behindDoc="0" locked="0" layoutInCell="1" allowOverlap="1">
          <wp:simplePos x="0" y="0"/>
          <wp:positionH relativeFrom="column">
            <wp:posOffset>0</wp:posOffset>
          </wp:positionH>
          <wp:positionV relativeFrom="paragraph">
            <wp:posOffset>16510</wp:posOffset>
          </wp:positionV>
          <wp:extent cx="427990" cy="431165"/>
          <wp:effectExtent l="0" t="0" r="0" b="6985"/>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27990" cy="431165"/>
                  </a:xfrm>
                  <a:prstGeom prst="rect">
                    <a:avLst/>
                  </a:prstGeom>
                  <a:noFill/>
                  <a:ln>
                    <a:noFill/>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1"/>
      </w:pBdr>
      <w:spacing w:line="320" w:lineRule="exact"/>
      <w:ind w:firstLine="810" w:firstLineChars="450"/>
      <w:jc w:val="left"/>
    </w:pPr>
    <w:r>
      <w:pict>
        <v:shape id="文本框 1" o:spid="_x0000_s4097" o:spt="202" type="#_x0000_t202" style="position:absolute;left:0pt;margin-left:554.75pt;margin-top:2.2pt;height:20.2pt;width:172pt;z-index:251659264;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I-12管理体系审核记录表(05版)</w:t>
                </w:r>
              </w:p>
              <w:p/>
            </w:txbxContent>
          </v:textbox>
        </v:shape>
      </w:pict>
    </w:r>
    <w:r>
      <w:rPr>
        <w:rStyle w:val="13"/>
        <w:rFonts w:hint="default"/>
        <w:w w:val="90"/>
      </w:rPr>
      <w:t>Beijing International Standard united Certification Co.,Ltd.</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I4NjI5OTBmMDM1ODFlMDkzNDFlZTFiMWNhZWU5ZTMifQ=="/>
  </w:docVars>
  <w:rsids>
    <w:rsidRoot w:val="009973B4"/>
    <w:rsid w:val="00001B8C"/>
    <w:rsid w:val="00003D10"/>
    <w:rsid w:val="00004817"/>
    <w:rsid w:val="0001043A"/>
    <w:rsid w:val="00015755"/>
    <w:rsid w:val="000214B6"/>
    <w:rsid w:val="0002531E"/>
    <w:rsid w:val="00027BC0"/>
    <w:rsid w:val="0003373A"/>
    <w:rsid w:val="000412F6"/>
    <w:rsid w:val="0004198B"/>
    <w:rsid w:val="0005199E"/>
    <w:rsid w:val="0005697E"/>
    <w:rsid w:val="000579CF"/>
    <w:rsid w:val="00081EEA"/>
    <w:rsid w:val="00082216"/>
    <w:rsid w:val="00082398"/>
    <w:rsid w:val="000849D2"/>
    <w:rsid w:val="000A5E44"/>
    <w:rsid w:val="000B1394"/>
    <w:rsid w:val="000B40BD"/>
    <w:rsid w:val="000C123B"/>
    <w:rsid w:val="000C27C7"/>
    <w:rsid w:val="000D5401"/>
    <w:rsid w:val="000D697A"/>
    <w:rsid w:val="000D7766"/>
    <w:rsid w:val="000E2B69"/>
    <w:rsid w:val="000E7EF7"/>
    <w:rsid w:val="000F35F1"/>
    <w:rsid w:val="001022F1"/>
    <w:rsid w:val="001037D5"/>
    <w:rsid w:val="00106508"/>
    <w:rsid w:val="0010715B"/>
    <w:rsid w:val="001079F7"/>
    <w:rsid w:val="00125C5E"/>
    <w:rsid w:val="00145688"/>
    <w:rsid w:val="001677C1"/>
    <w:rsid w:val="001918ED"/>
    <w:rsid w:val="00192A7F"/>
    <w:rsid w:val="001938BB"/>
    <w:rsid w:val="001A2D7F"/>
    <w:rsid w:val="001A3DF8"/>
    <w:rsid w:val="001A572D"/>
    <w:rsid w:val="001B7F93"/>
    <w:rsid w:val="001C3359"/>
    <w:rsid w:val="001C5543"/>
    <w:rsid w:val="001C62B1"/>
    <w:rsid w:val="001D168D"/>
    <w:rsid w:val="001D4AD8"/>
    <w:rsid w:val="001D54FF"/>
    <w:rsid w:val="001E1974"/>
    <w:rsid w:val="001F4C1A"/>
    <w:rsid w:val="001F5D94"/>
    <w:rsid w:val="00201278"/>
    <w:rsid w:val="00202BC2"/>
    <w:rsid w:val="00203011"/>
    <w:rsid w:val="00214113"/>
    <w:rsid w:val="00214AE3"/>
    <w:rsid w:val="00215081"/>
    <w:rsid w:val="00222532"/>
    <w:rsid w:val="00237445"/>
    <w:rsid w:val="002651A6"/>
    <w:rsid w:val="002725D3"/>
    <w:rsid w:val="002963C7"/>
    <w:rsid w:val="002973F0"/>
    <w:rsid w:val="002975C1"/>
    <w:rsid w:val="002A0E6E"/>
    <w:rsid w:val="002A33CC"/>
    <w:rsid w:val="002B1808"/>
    <w:rsid w:val="002B43FA"/>
    <w:rsid w:val="002B6D4A"/>
    <w:rsid w:val="002C1ACE"/>
    <w:rsid w:val="002C3E0D"/>
    <w:rsid w:val="002D2A3B"/>
    <w:rsid w:val="002D41FB"/>
    <w:rsid w:val="002E0587"/>
    <w:rsid w:val="002E1320"/>
    <w:rsid w:val="002E1E1D"/>
    <w:rsid w:val="002E698A"/>
    <w:rsid w:val="00303223"/>
    <w:rsid w:val="00313258"/>
    <w:rsid w:val="00326FC1"/>
    <w:rsid w:val="00337922"/>
    <w:rsid w:val="00340867"/>
    <w:rsid w:val="00342857"/>
    <w:rsid w:val="003608CB"/>
    <w:rsid w:val="003625B2"/>
    <w:rsid w:val="003627B6"/>
    <w:rsid w:val="003633CE"/>
    <w:rsid w:val="003708D5"/>
    <w:rsid w:val="0038061A"/>
    <w:rsid w:val="0038063B"/>
    <w:rsid w:val="00380837"/>
    <w:rsid w:val="00382EDD"/>
    <w:rsid w:val="003836CA"/>
    <w:rsid w:val="00385EF8"/>
    <w:rsid w:val="00386A98"/>
    <w:rsid w:val="0039198F"/>
    <w:rsid w:val="00392140"/>
    <w:rsid w:val="00397520"/>
    <w:rsid w:val="00397D15"/>
    <w:rsid w:val="003A1E9C"/>
    <w:rsid w:val="003A5582"/>
    <w:rsid w:val="003A5CBF"/>
    <w:rsid w:val="003D6BE3"/>
    <w:rsid w:val="003D6D29"/>
    <w:rsid w:val="003E0E52"/>
    <w:rsid w:val="003F20A5"/>
    <w:rsid w:val="003F5F3E"/>
    <w:rsid w:val="00400B96"/>
    <w:rsid w:val="00405D5F"/>
    <w:rsid w:val="00410914"/>
    <w:rsid w:val="00415AA3"/>
    <w:rsid w:val="00420C60"/>
    <w:rsid w:val="00430432"/>
    <w:rsid w:val="00433759"/>
    <w:rsid w:val="0043494E"/>
    <w:rsid w:val="004414A5"/>
    <w:rsid w:val="00445091"/>
    <w:rsid w:val="00456697"/>
    <w:rsid w:val="00464681"/>
    <w:rsid w:val="00465FE1"/>
    <w:rsid w:val="00466DF3"/>
    <w:rsid w:val="00475491"/>
    <w:rsid w:val="004869FB"/>
    <w:rsid w:val="00491735"/>
    <w:rsid w:val="00494A46"/>
    <w:rsid w:val="0049593E"/>
    <w:rsid w:val="004A6307"/>
    <w:rsid w:val="004B217F"/>
    <w:rsid w:val="004B3E7F"/>
    <w:rsid w:val="004C026E"/>
    <w:rsid w:val="004C07FE"/>
    <w:rsid w:val="004D3E4C"/>
    <w:rsid w:val="004D48ED"/>
    <w:rsid w:val="004F185D"/>
    <w:rsid w:val="0050085A"/>
    <w:rsid w:val="005056ED"/>
    <w:rsid w:val="00517E4C"/>
    <w:rsid w:val="00521CF0"/>
    <w:rsid w:val="00527840"/>
    <w:rsid w:val="0053208B"/>
    <w:rsid w:val="00534814"/>
    <w:rsid w:val="00536930"/>
    <w:rsid w:val="00560A2A"/>
    <w:rsid w:val="00564E53"/>
    <w:rsid w:val="00583277"/>
    <w:rsid w:val="00592C3E"/>
    <w:rsid w:val="005A000F"/>
    <w:rsid w:val="005A11A1"/>
    <w:rsid w:val="005B173D"/>
    <w:rsid w:val="005B6888"/>
    <w:rsid w:val="005E4F7F"/>
    <w:rsid w:val="005F5AB2"/>
    <w:rsid w:val="005F6C65"/>
    <w:rsid w:val="00600F02"/>
    <w:rsid w:val="006041A6"/>
    <w:rsid w:val="0060444D"/>
    <w:rsid w:val="006200AB"/>
    <w:rsid w:val="00633699"/>
    <w:rsid w:val="00642776"/>
    <w:rsid w:val="00644FE2"/>
    <w:rsid w:val="00645FB8"/>
    <w:rsid w:val="00651986"/>
    <w:rsid w:val="006545E8"/>
    <w:rsid w:val="00661E39"/>
    <w:rsid w:val="00664736"/>
    <w:rsid w:val="00665980"/>
    <w:rsid w:val="0067640C"/>
    <w:rsid w:val="006836D9"/>
    <w:rsid w:val="00690732"/>
    <w:rsid w:val="00695256"/>
    <w:rsid w:val="00695570"/>
    <w:rsid w:val="00696AF1"/>
    <w:rsid w:val="006A3273"/>
    <w:rsid w:val="006A3B31"/>
    <w:rsid w:val="006A68F3"/>
    <w:rsid w:val="006B4127"/>
    <w:rsid w:val="006C1EF6"/>
    <w:rsid w:val="006C24BF"/>
    <w:rsid w:val="006C2623"/>
    <w:rsid w:val="006C40B9"/>
    <w:rsid w:val="006C784C"/>
    <w:rsid w:val="006E374B"/>
    <w:rsid w:val="006E678B"/>
    <w:rsid w:val="006F122F"/>
    <w:rsid w:val="0070367F"/>
    <w:rsid w:val="007041A2"/>
    <w:rsid w:val="00712F3C"/>
    <w:rsid w:val="007170AA"/>
    <w:rsid w:val="00717AB2"/>
    <w:rsid w:val="00732B66"/>
    <w:rsid w:val="00737C8F"/>
    <w:rsid w:val="00740459"/>
    <w:rsid w:val="007406DE"/>
    <w:rsid w:val="00743E79"/>
    <w:rsid w:val="00744BEA"/>
    <w:rsid w:val="00744CD5"/>
    <w:rsid w:val="00751532"/>
    <w:rsid w:val="00751C37"/>
    <w:rsid w:val="00755224"/>
    <w:rsid w:val="0075769B"/>
    <w:rsid w:val="00764A8C"/>
    <w:rsid w:val="0076642A"/>
    <w:rsid w:val="007757F3"/>
    <w:rsid w:val="007810C4"/>
    <w:rsid w:val="007815DC"/>
    <w:rsid w:val="007A29DE"/>
    <w:rsid w:val="007A47FB"/>
    <w:rsid w:val="007B106B"/>
    <w:rsid w:val="007B275D"/>
    <w:rsid w:val="007E6AEB"/>
    <w:rsid w:val="007F01EC"/>
    <w:rsid w:val="007F3604"/>
    <w:rsid w:val="007F7DF2"/>
    <w:rsid w:val="0080667C"/>
    <w:rsid w:val="008079FA"/>
    <w:rsid w:val="00810D58"/>
    <w:rsid w:val="008138FE"/>
    <w:rsid w:val="00823572"/>
    <w:rsid w:val="00835B31"/>
    <w:rsid w:val="0084042B"/>
    <w:rsid w:val="00843075"/>
    <w:rsid w:val="00844848"/>
    <w:rsid w:val="0084788C"/>
    <w:rsid w:val="00853524"/>
    <w:rsid w:val="008646DE"/>
    <w:rsid w:val="00864902"/>
    <w:rsid w:val="00864BE7"/>
    <w:rsid w:val="00865200"/>
    <w:rsid w:val="00871695"/>
    <w:rsid w:val="00874772"/>
    <w:rsid w:val="0088047D"/>
    <w:rsid w:val="00883873"/>
    <w:rsid w:val="00891C25"/>
    <w:rsid w:val="008973EE"/>
    <w:rsid w:val="008976E1"/>
    <w:rsid w:val="008D089D"/>
    <w:rsid w:val="008F0B04"/>
    <w:rsid w:val="008F3BE7"/>
    <w:rsid w:val="008F7C55"/>
    <w:rsid w:val="008F7FF3"/>
    <w:rsid w:val="0090288D"/>
    <w:rsid w:val="00913CD8"/>
    <w:rsid w:val="00930694"/>
    <w:rsid w:val="009325F0"/>
    <w:rsid w:val="00934679"/>
    <w:rsid w:val="00934EDB"/>
    <w:rsid w:val="0093521F"/>
    <w:rsid w:val="00940ADC"/>
    <w:rsid w:val="009444DF"/>
    <w:rsid w:val="00945677"/>
    <w:rsid w:val="00955B84"/>
    <w:rsid w:val="00962F78"/>
    <w:rsid w:val="00965982"/>
    <w:rsid w:val="0096609F"/>
    <w:rsid w:val="00971600"/>
    <w:rsid w:val="009761E2"/>
    <w:rsid w:val="00984342"/>
    <w:rsid w:val="00996460"/>
    <w:rsid w:val="009973B4"/>
    <w:rsid w:val="009B7EB8"/>
    <w:rsid w:val="009C1895"/>
    <w:rsid w:val="009E30DA"/>
    <w:rsid w:val="009E6193"/>
    <w:rsid w:val="009E74EE"/>
    <w:rsid w:val="009E7DD1"/>
    <w:rsid w:val="009F7EED"/>
    <w:rsid w:val="00A138EC"/>
    <w:rsid w:val="00A15483"/>
    <w:rsid w:val="00A162AB"/>
    <w:rsid w:val="00A730F3"/>
    <w:rsid w:val="00A801DE"/>
    <w:rsid w:val="00A90A22"/>
    <w:rsid w:val="00A97734"/>
    <w:rsid w:val="00AA7F40"/>
    <w:rsid w:val="00AB0F3F"/>
    <w:rsid w:val="00AB41FC"/>
    <w:rsid w:val="00AB55F0"/>
    <w:rsid w:val="00AB561D"/>
    <w:rsid w:val="00AB592F"/>
    <w:rsid w:val="00AB7D2F"/>
    <w:rsid w:val="00AC748B"/>
    <w:rsid w:val="00AD1794"/>
    <w:rsid w:val="00AD6AD6"/>
    <w:rsid w:val="00AD6F34"/>
    <w:rsid w:val="00AE73BB"/>
    <w:rsid w:val="00AF0AAB"/>
    <w:rsid w:val="00AF616B"/>
    <w:rsid w:val="00AF7AB0"/>
    <w:rsid w:val="00B0685B"/>
    <w:rsid w:val="00B1361E"/>
    <w:rsid w:val="00B17E2F"/>
    <w:rsid w:val="00B23030"/>
    <w:rsid w:val="00B237B9"/>
    <w:rsid w:val="00B23CAA"/>
    <w:rsid w:val="00B33209"/>
    <w:rsid w:val="00B410EE"/>
    <w:rsid w:val="00B441D6"/>
    <w:rsid w:val="00B62C94"/>
    <w:rsid w:val="00B8202D"/>
    <w:rsid w:val="00B929FD"/>
    <w:rsid w:val="00B95B99"/>
    <w:rsid w:val="00B95F69"/>
    <w:rsid w:val="00BB7976"/>
    <w:rsid w:val="00BC2015"/>
    <w:rsid w:val="00BC71B0"/>
    <w:rsid w:val="00BD0EBF"/>
    <w:rsid w:val="00BD6C5E"/>
    <w:rsid w:val="00BE3314"/>
    <w:rsid w:val="00BF597E"/>
    <w:rsid w:val="00C03098"/>
    <w:rsid w:val="00C10F38"/>
    <w:rsid w:val="00C14685"/>
    <w:rsid w:val="00C21852"/>
    <w:rsid w:val="00C267D7"/>
    <w:rsid w:val="00C27E6C"/>
    <w:rsid w:val="00C31C73"/>
    <w:rsid w:val="00C51A36"/>
    <w:rsid w:val="00C548BE"/>
    <w:rsid w:val="00C55228"/>
    <w:rsid w:val="00C6087B"/>
    <w:rsid w:val="00C67E19"/>
    <w:rsid w:val="00C67E47"/>
    <w:rsid w:val="00C71302"/>
    <w:rsid w:val="00C71E85"/>
    <w:rsid w:val="00C74A4F"/>
    <w:rsid w:val="00C86F9B"/>
    <w:rsid w:val="00C873F6"/>
    <w:rsid w:val="00C87FEE"/>
    <w:rsid w:val="00C920A9"/>
    <w:rsid w:val="00CA76D3"/>
    <w:rsid w:val="00CB260B"/>
    <w:rsid w:val="00CC76E1"/>
    <w:rsid w:val="00CE2A9E"/>
    <w:rsid w:val="00CE315A"/>
    <w:rsid w:val="00CE7BE1"/>
    <w:rsid w:val="00CF147A"/>
    <w:rsid w:val="00CF1726"/>
    <w:rsid w:val="00CF6C5C"/>
    <w:rsid w:val="00D0543B"/>
    <w:rsid w:val="00D06F59"/>
    <w:rsid w:val="00D137CA"/>
    <w:rsid w:val="00D16955"/>
    <w:rsid w:val="00D31507"/>
    <w:rsid w:val="00D3392D"/>
    <w:rsid w:val="00D429D7"/>
    <w:rsid w:val="00D55ABC"/>
    <w:rsid w:val="00D55E69"/>
    <w:rsid w:val="00D562F6"/>
    <w:rsid w:val="00D8388C"/>
    <w:rsid w:val="00D851F5"/>
    <w:rsid w:val="00D86E59"/>
    <w:rsid w:val="00DA0DF0"/>
    <w:rsid w:val="00DA52C9"/>
    <w:rsid w:val="00DB047C"/>
    <w:rsid w:val="00DE146D"/>
    <w:rsid w:val="00DE2D80"/>
    <w:rsid w:val="00DE6FCE"/>
    <w:rsid w:val="00DF76DB"/>
    <w:rsid w:val="00E038E4"/>
    <w:rsid w:val="00E13D9A"/>
    <w:rsid w:val="00E172AE"/>
    <w:rsid w:val="00E21F1E"/>
    <w:rsid w:val="00E32D13"/>
    <w:rsid w:val="00E43822"/>
    <w:rsid w:val="00E54035"/>
    <w:rsid w:val="00E56EDB"/>
    <w:rsid w:val="00E62996"/>
    <w:rsid w:val="00E63714"/>
    <w:rsid w:val="00E64A51"/>
    <w:rsid w:val="00E67CD7"/>
    <w:rsid w:val="00E74909"/>
    <w:rsid w:val="00E910C0"/>
    <w:rsid w:val="00E97424"/>
    <w:rsid w:val="00EA55F7"/>
    <w:rsid w:val="00EB0164"/>
    <w:rsid w:val="00EB461C"/>
    <w:rsid w:val="00EB4C68"/>
    <w:rsid w:val="00EB65F7"/>
    <w:rsid w:val="00EC42F5"/>
    <w:rsid w:val="00ED0F62"/>
    <w:rsid w:val="00EF36E7"/>
    <w:rsid w:val="00EF48B0"/>
    <w:rsid w:val="00F02B9A"/>
    <w:rsid w:val="00F06D09"/>
    <w:rsid w:val="00F06FA5"/>
    <w:rsid w:val="00F11201"/>
    <w:rsid w:val="00F14D99"/>
    <w:rsid w:val="00F15757"/>
    <w:rsid w:val="00F1684A"/>
    <w:rsid w:val="00F32CB9"/>
    <w:rsid w:val="00F33729"/>
    <w:rsid w:val="00F35CD7"/>
    <w:rsid w:val="00F57FB7"/>
    <w:rsid w:val="00F606E1"/>
    <w:rsid w:val="00F6739D"/>
    <w:rsid w:val="00F72675"/>
    <w:rsid w:val="00F75CE0"/>
    <w:rsid w:val="00F83639"/>
    <w:rsid w:val="00F840C3"/>
    <w:rsid w:val="00F856F5"/>
    <w:rsid w:val="00F85FA1"/>
    <w:rsid w:val="00F93FC0"/>
    <w:rsid w:val="00F956F5"/>
    <w:rsid w:val="00FA0833"/>
    <w:rsid w:val="00FA350D"/>
    <w:rsid w:val="00FA421C"/>
    <w:rsid w:val="00FA46E0"/>
    <w:rsid w:val="00FB03C3"/>
    <w:rsid w:val="00FB246F"/>
    <w:rsid w:val="00FB5A65"/>
    <w:rsid w:val="00FD2869"/>
    <w:rsid w:val="00FD5EE5"/>
    <w:rsid w:val="00FD72A6"/>
    <w:rsid w:val="00FE09C9"/>
    <w:rsid w:val="00FE4795"/>
    <w:rsid w:val="108219C2"/>
    <w:rsid w:val="10C7539A"/>
    <w:rsid w:val="22DC7B21"/>
    <w:rsid w:val="23E11E68"/>
    <w:rsid w:val="2BCD2DC0"/>
    <w:rsid w:val="44881ACC"/>
    <w:rsid w:val="50210385"/>
    <w:rsid w:val="5EA12B9A"/>
    <w:rsid w:val="779162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Date"/>
    <w:basedOn w:val="1"/>
    <w:next w:val="1"/>
    <w:link w:val="18"/>
    <w:uiPriority w:val="0"/>
    <w:pPr>
      <w:ind w:left="100" w:leftChars="2500"/>
    </w:pPr>
    <w:rPr>
      <w:szCs w:val="24"/>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6"/>
    <w:qFormat/>
    <w:uiPriority w:val="0"/>
    <w:rPr>
      <w:rFonts w:ascii="Times New Roman" w:hAnsi="Times New Roman" w:eastAsia="宋体" w:cs="Times New Roman"/>
      <w:sz w:val="18"/>
      <w:szCs w:val="18"/>
    </w:rPr>
  </w:style>
  <w:style w:type="character" w:customStyle="1" w:styleId="11">
    <w:name w:val="页脚 字符"/>
    <w:basedOn w:val="9"/>
    <w:link w:val="5"/>
    <w:qFormat/>
    <w:uiPriority w:val="99"/>
    <w:rPr>
      <w:rFonts w:ascii="Times New Roman" w:hAnsi="Times New Roman" w:eastAsia="宋体" w:cs="Times New Roman"/>
      <w:sz w:val="18"/>
      <w:szCs w:val="18"/>
    </w:rPr>
  </w:style>
  <w:style w:type="character" w:customStyle="1" w:styleId="12">
    <w:name w:val="批注框文本 字符"/>
    <w:basedOn w:val="9"/>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character" w:customStyle="1" w:styleId="14">
    <w:name w:val="fontstyle01"/>
    <w:basedOn w:val="9"/>
    <w:qFormat/>
    <w:uiPriority w:val="0"/>
    <w:rPr>
      <w:rFonts w:hint="eastAsia" w:ascii="宋体" w:hAnsi="宋体" w:eastAsia="宋体"/>
      <w:color w:val="000000"/>
      <w:sz w:val="24"/>
      <w:szCs w:val="24"/>
    </w:rPr>
  </w:style>
  <w:style w:type="character" w:customStyle="1" w:styleId="15">
    <w:name w:val="fontstyle21"/>
    <w:basedOn w:val="9"/>
    <w:qFormat/>
    <w:uiPriority w:val="0"/>
    <w:rPr>
      <w:rFonts w:hint="default" w:ascii="Times New Roman" w:hAnsi="Times New Roman" w:cs="Times New Roman"/>
      <w:color w:val="000000"/>
      <w:sz w:val="24"/>
      <w:szCs w:val="24"/>
    </w:rPr>
  </w:style>
  <w:style w:type="paragraph" w:styleId="16">
    <w:name w:val="List Paragraph"/>
    <w:basedOn w:val="1"/>
    <w:qFormat/>
    <w:uiPriority w:val="0"/>
    <w:pPr>
      <w:ind w:firstLine="420" w:firstLineChars="200"/>
    </w:pPr>
  </w:style>
  <w:style w:type="paragraph" w:customStyle="1" w:styleId="17">
    <w:name w:val="Table Paragraph"/>
    <w:basedOn w:val="1"/>
    <w:qFormat/>
    <w:uiPriority w:val="1"/>
    <w:pPr>
      <w:autoSpaceDE w:val="0"/>
      <w:autoSpaceDN w:val="0"/>
      <w:jc w:val="left"/>
    </w:pPr>
    <w:rPr>
      <w:rFonts w:ascii="Droid Sans Fallback" w:hAnsi="Droid Sans Fallback" w:eastAsia="Droid Sans Fallback" w:cs="Droid Sans Fallback"/>
      <w:kern w:val="0"/>
      <w:sz w:val="22"/>
      <w:szCs w:val="22"/>
      <w:lang w:eastAsia="en-US"/>
    </w:rPr>
  </w:style>
  <w:style w:type="character" w:customStyle="1" w:styleId="18">
    <w:name w:val="日期 字符"/>
    <w:basedOn w:val="9"/>
    <w:link w:val="3"/>
    <w:uiPriority w:val="0"/>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1AA7C2-A504-48B9-A1A3-06C9FACC8280}">
  <ds:schemaRefs/>
</ds:datastoreItem>
</file>

<file path=docProps/app.xml><?xml version="1.0" encoding="utf-8"?>
<Properties xmlns="http://schemas.openxmlformats.org/officeDocument/2006/extended-properties" xmlns:vt="http://schemas.openxmlformats.org/officeDocument/2006/docPropsVTypes">
  <Template>Normal</Template>
  <Pages>6</Pages>
  <Words>446</Words>
  <Characters>2546</Characters>
  <Lines>21</Lines>
  <Paragraphs>5</Paragraphs>
  <TotalTime>0</TotalTime>
  <ScaleCrop>false</ScaleCrop>
  <LinksUpToDate>false</LinksUpToDate>
  <CharactersWithSpaces>2987</CharactersWithSpaces>
  <Application>WPS Office_11.1.0.12349_F1E327BC-269C-435d-A152-05C5408002CA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企业咨询17334292415</cp:lastModifiedBy>
  <dcterms:modified xsi:type="dcterms:W3CDTF">2022-08-20T09:01:31Z</dcterms:modified>
  <cp:revision>507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2052-11.1.0.12349</vt:lpwstr>
  </property>
  <property fmtid="{D5CDD505-2E9C-101B-9397-08002B2CF9AE}" pid="3" name="ICV">
    <vt:lpwstr>2499A2C3FA7A43C8867F3043981DDC61</vt:lpwstr>
  </property>
</Properties>
</file>