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sz w:val="36"/>
          <w:szCs w:val="36"/>
          <w:highlight w:val="none"/>
          <w:u w:val="none"/>
        </w:rPr>
      </w:pPr>
      <w:r>
        <w:rPr>
          <w:rFonts w:hint="eastAsia" w:ascii="仿宋" w:hAnsi="仿宋" w:eastAsia="仿宋" w:cs="仿宋"/>
          <w:b/>
          <w:bCs w:val="0"/>
          <w:color w:val="000000"/>
          <w:sz w:val="36"/>
          <w:szCs w:val="36"/>
          <w:highlight w:val="none"/>
          <w:u w:val="none"/>
        </w:rPr>
        <w:t>管理体系审核记录表</w:t>
      </w:r>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highlight w:val="none"/>
          <w:u w:val="none"/>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1"/>
        <w:gridCol w:w="960"/>
        <w:gridCol w:w="10756"/>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15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过程与活动、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抽样计划</w:t>
            </w:r>
          </w:p>
        </w:tc>
        <w:tc>
          <w:tcPr>
            <w:tcW w:w="960"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条款</w:t>
            </w:r>
          </w:p>
        </w:tc>
        <w:tc>
          <w:tcPr>
            <w:tcW w:w="1075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u w:val="none"/>
              </w:rPr>
              <w:t>受审核部门：</w:t>
            </w:r>
            <w:r>
              <w:rPr>
                <w:rFonts w:hint="eastAsia" w:ascii="仿宋" w:hAnsi="仿宋" w:eastAsia="仿宋" w:cs="仿宋"/>
                <w:color w:val="auto"/>
                <w:sz w:val="24"/>
                <w:szCs w:val="24"/>
                <w:u w:val="none"/>
                <w:lang w:val="en-US" w:eastAsia="zh-CN"/>
              </w:rPr>
              <w:t>业务部</w:t>
            </w:r>
            <w:r>
              <w:rPr>
                <w:rFonts w:hint="eastAsia" w:ascii="仿宋" w:hAnsi="仿宋" w:eastAsia="仿宋" w:cs="仿宋"/>
                <w:color w:val="auto"/>
                <w:sz w:val="24"/>
                <w:szCs w:val="24"/>
                <w:u w:val="none"/>
              </w:rPr>
              <w:t xml:space="preserve">             主管领导： </w:t>
            </w:r>
            <w:r>
              <w:rPr>
                <w:rFonts w:hint="eastAsia" w:ascii="楷体" w:hAnsi="楷体" w:eastAsia="楷体" w:cs="楷体"/>
                <w:bCs/>
                <w:color w:val="auto"/>
                <w:kern w:val="0"/>
                <w:sz w:val="24"/>
                <w:lang w:eastAsia="zh-CN"/>
              </w:rPr>
              <w:t>王景刚</w:t>
            </w:r>
            <w:r>
              <w:rPr>
                <w:rFonts w:hint="eastAsia" w:ascii="楷体" w:hAnsi="楷体" w:eastAsia="楷体" w:cs="楷体"/>
                <w:color w:val="auto"/>
                <w:sz w:val="24"/>
                <w:szCs w:val="24"/>
                <w:u w:val="none"/>
              </w:rPr>
              <w:t xml:space="preserve"> </w:t>
            </w:r>
            <w:r>
              <w:rPr>
                <w:rFonts w:hint="eastAsia" w:ascii="仿宋" w:hAnsi="仿宋" w:eastAsia="仿宋" w:cs="仿宋"/>
                <w:color w:val="auto"/>
                <w:sz w:val="24"/>
                <w:szCs w:val="24"/>
                <w:u w:val="none"/>
              </w:rPr>
              <w:t xml:space="preserve">    陪同人员：</w:t>
            </w:r>
            <w:r>
              <w:rPr>
                <w:rFonts w:hint="eastAsia" w:ascii="仿宋" w:hAnsi="仿宋" w:eastAsia="仿宋" w:cs="仿宋"/>
                <w:color w:val="auto"/>
                <w:sz w:val="24"/>
                <w:szCs w:val="24"/>
                <w:u w:val="none"/>
                <w:lang w:val="en-US" w:eastAsia="zh-CN"/>
              </w:rPr>
              <w:t>李娜</w:t>
            </w:r>
          </w:p>
        </w:tc>
        <w:tc>
          <w:tcPr>
            <w:tcW w:w="851"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1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96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c>
          <w:tcPr>
            <w:tcW w:w="10756"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u w:val="none"/>
              </w:rPr>
              <w:t>审核员：</w:t>
            </w:r>
            <w:r>
              <w:rPr>
                <w:rFonts w:hint="eastAsia" w:ascii="仿宋" w:hAnsi="仿宋" w:eastAsia="仿宋" w:cs="仿宋"/>
                <w:color w:val="auto"/>
                <w:sz w:val="24"/>
                <w:szCs w:val="24"/>
                <w:u w:val="none"/>
                <w:lang w:val="en-US" w:eastAsia="zh-CN"/>
              </w:rPr>
              <w:t>伍光华</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杜宇皓</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审核时间：202</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23</w:t>
            </w:r>
            <w:r>
              <w:rPr>
                <w:rFonts w:hint="eastAsia" w:ascii="仿宋" w:hAnsi="仿宋" w:eastAsia="仿宋" w:cs="仿宋"/>
                <w:color w:val="auto"/>
                <w:sz w:val="24"/>
                <w:szCs w:val="24"/>
                <w:u w:val="none"/>
              </w:rPr>
              <w:t>日</w:t>
            </w:r>
          </w:p>
        </w:tc>
        <w:tc>
          <w:tcPr>
            <w:tcW w:w="85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1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rPr>
            </w:pPr>
          </w:p>
        </w:tc>
        <w:tc>
          <w:tcPr>
            <w:tcW w:w="96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rPr>
            </w:pPr>
          </w:p>
        </w:tc>
        <w:tc>
          <w:tcPr>
            <w:tcW w:w="10756" w:type="dxa"/>
            <w:noWrap w:val="0"/>
            <w:vAlign w:val="center"/>
          </w:tcPr>
          <w:p>
            <w:pPr>
              <w:snapToGrid w:val="0"/>
              <w:spacing w:line="320" w:lineRule="exact"/>
              <w:rPr>
                <w:rFonts w:hint="default"/>
                <w:color w:val="auto"/>
                <w:lang w:val="en-US"/>
              </w:rPr>
            </w:pPr>
            <w:r>
              <w:rPr>
                <w:rFonts w:hint="eastAsia" w:ascii="楷体" w:hAnsi="楷体" w:eastAsia="楷体" w:cs="楷体"/>
                <w:color w:val="auto"/>
                <w:sz w:val="24"/>
                <w:szCs w:val="24"/>
              </w:rPr>
              <w:t>审核条款</w:t>
            </w:r>
            <w:r>
              <w:rPr>
                <w:rFonts w:hint="eastAsia" w:ascii="楷体" w:hAnsi="楷体" w:eastAsia="楷体" w:cs="楷体"/>
                <w:color w:val="auto"/>
                <w:sz w:val="24"/>
                <w:szCs w:val="24"/>
                <w:lang w:val="en-US" w:eastAsia="zh-CN"/>
              </w:rPr>
              <w:t>：</w:t>
            </w:r>
            <w:r>
              <w:rPr>
                <w:rFonts w:hint="eastAsia" w:ascii="楷体" w:hAnsi="楷体" w:eastAsia="楷体" w:cs="楷体"/>
                <w:b/>
                <w:bCs/>
                <w:color w:val="auto"/>
                <w:sz w:val="24"/>
                <w:szCs w:val="24"/>
                <w:lang w:val="en-US" w:eastAsia="zh-CN"/>
              </w:rPr>
              <w:t>O</w:t>
            </w:r>
            <w:r>
              <w:rPr>
                <w:rFonts w:hint="eastAsia" w:ascii="楷体" w:hAnsi="楷体" w:eastAsia="楷体" w:cs="楷体"/>
                <w:b/>
                <w:bCs/>
                <w:color w:val="auto"/>
                <w:sz w:val="24"/>
                <w:szCs w:val="24"/>
              </w:rPr>
              <w:t>:5.3</w:t>
            </w: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sz w:val="24"/>
                <w:szCs w:val="24"/>
              </w:rPr>
              <w:t>6.1.2</w:t>
            </w: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sz w:val="24"/>
                <w:szCs w:val="24"/>
              </w:rPr>
              <w:t xml:space="preserve">6.1.4 </w:t>
            </w: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sz w:val="24"/>
                <w:szCs w:val="24"/>
              </w:rPr>
              <w:t>8.1</w:t>
            </w: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sz w:val="24"/>
                <w:szCs w:val="24"/>
              </w:rPr>
              <w:t>8.2</w:t>
            </w:r>
            <w:r>
              <w:rPr>
                <w:rFonts w:hint="eastAsia" w:ascii="楷体" w:hAnsi="楷体" w:eastAsia="楷体" w:cs="楷体"/>
                <w:b/>
                <w:bCs/>
                <w:color w:val="auto"/>
                <w:sz w:val="24"/>
                <w:szCs w:val="24"/>
                <w:lang w:val="en-US" w:eastAsia="zh-CN"/>
              </w:rPr>
              <w:t>/</w:t>
            </w:r>
            <w:r>
              <w:rPr>
                <w:rFonts w:hint="eastAsia" w:ascii="楷体" w:hAnsi="楷体" w:eastAsia="楷体" w:cs="楷体"/>
                <w:b/>
                <w:bCs/>
                <w:color w:val="auto"/>
                <w:sz w:val="24"/>
                <w:szCs w:val="24"/>
              </w:rPr>
              <w:t xml:space="preserve">9.1.1 </w:t>
            </w:r>
          </w:p>
        </w:tc>
        <w:tc>
          <w:tcPr>
            <w:tcW w:w="851"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none"/>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2151"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组织的岗位、职责权限</w:t>
            </w:r>
          </w:p>
        </w:tc>
        <w:tc>
          <w:tcPr>
            <w:tcW w:w="960"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O5.3</w:t>
            </w:r>
          </w:p>
        </w:tc>
        <w:tc>
          <w:tcPr>
            <w:tcW w:w="10756"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部门负责人：</w:t>
            </w:r>
            <w:r>
              <w:rPr>
                <w:rFonts w:hint="eastAsia" w:ascii="楷体" w:hAnsi="楷体" w:eastAsia="楷体" w:cs="楷体"/>
                <w:bCs/>
                <w:color w:val="auto"/>
                <w:kern w:val="0"/>
                <w:sz w:val="24"/>
                <w:lang w:eastAsia="zh-CN"/>
              </w:rPr>
              <w:t>王景刚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询问其职责权限：负责公司原材料采购，合格供方评审工作；负责进行市场调查与顾客满意度的调查销售管理工作。负责销售合同的签定及与合同和顾客有关的外部联系。职责明确，回答基本完整。</w:t>
            </w:r>
          </w:p>
        </w:tc>
        <w:tc>
          <w:tcPr>
            <w:tcW w:w="851"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top"/>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危险源识别</w:t>
            </w:r>
            <w:r>
              <w:rPr>
                <w:rFonts w:hint="eastAsia" w:ascii="仿宋" w:hAnsi="仿宋" w:eastAsia="仿宋" w:cs="仿宋"/>
                <w:sz w:val="24"/>
                <w:szCs w:val="24"/>
                <w:lang w:val="en-US" w:eastAsia="zh-CN"/>
              </w:rPr>
              <w:t>与评价</w:t>
            </w:r>
          </w:p>
        </w:tc>
        <w:tc>
          <w:tcPr>
            <w:tcW w:w="960" w:type="dxa"/>
            <w:noWrap w:val="0"/>
            <w:vAlign w:val="top"/>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sz w:val="24"/>
                <w:szCs w:val="24"/>
              </w:rPr>
              <w:t>O6.1.2</w:t>
            </w:r>
          </w:p>
        </w:tc>
        <w:tc>
          <w:tcPr>
            <w:tcW w:w="10756"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了公司制定《危险源辨识与风险评价控制措施管理程序》确保公司在所有管理活动或服务过程中能最大限度、充分地进行危险源辨识与风险性评价，确定不可接受风险并及时更新，实现对危险源与不可接受风险的有效控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提供了“危险源辨识和风险评价表”，业务部门活动识别的危险源为办公场所不按规定使用电安全、人员外出乘车发生车祸、天热引起中暑、人员疫情防控等。</w:t>
            </w:r>
          </w:p>
          <w:p>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业务部活动识别的危险源未纳入公司制定的不可接受危险源控制范围内。</w:t>
            </w:r>
          </w:p>
        </w:tc>
        <w:tc>
          <w:tcPr>
            <w:tcW w:w="851" w:type="dxa"/>
            <w:noWrap w:val="0"/>
            <w:vAlign w:val="top"/>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措施的策划</w:t>
            </w:r>
          </w:p>
          <w:p>
            <w:pPr>
              <w:spacing w:line="360" w:lineRule="auto"/>
              <w:rPr>
                <w:rFonts w:hint="eastAsia" w:ascii="仿宋" w:hAnsi="仿宋" w:eastAsia="仿宋" w:cs="仿宋"/>
                <w:color w:val="auto"/>
                <w:sz w:val="24"/>
                <w:szCs w:val="24"/>
                <w:highlight w:val="none"/>
                <w:u w:val="none"/>
                <w:lang w:val="en-US" w:eastAsia="zh-CN"/>
              </w:rPr>
            </w:pPr>
          </w:p>
        </w:tc>
        <w:tc>
          <w:tcPr>
            <w:tcW w:w="960" w:type="dxa"/>
            <w:noWrap w:val="0"/>
            <w:vAlign w:val="top"/>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O：6.1.4</w:t>
            </w:r>
          </w:p>
          <w:p>
            <w:pPr>
              <w:spacing w:line="360" w:lineRule="auto"/>
              <w:jc w:val="both"/>
              <w:rPr>
                <w:rFonts w:hint="eastAsia" w:ascii="仿宋" w:hAnsi="仿宋" w:eastAsia="仿宋" w:cs="仿宋"/>
                <w:color w:val="auto"/>
                <w:sz w:val="24"/>
                <w:szCs w:val="24"/>
                <w:highlight w:val="none"/>
                <w:u w:val="none"/>
                <w:lang w:val="en-US" w:eastAsia="zh-CN"/>
              </w:rPr>
            </w:pPr>
          </w:p>
        </w:tc>
        <w:tc>
          <w:tcPr>
            <w:tcW w:w="10756"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公司编制了《风险和机遇评估分析表》，识别了公司面对的风险和机遇并制定了控制措施。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公司根据危险源的风险辨识结果，制定出《重大危险源清单》，清单内明确了控制措施计划，通过具体的措施进行有效控制：目标、管理方案、管理制度、运行控制、应急预案、日常检查、日常培训等。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制定了《文件控制/法律法规及其它要求控制程序》》、《合规性评价管理程序》、《绩效测量与监测管理程序》，每年对公司适用的合规义务进行识别更新并定期评价、检查。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针对紧急情况制定应急预案并定期演练。</w:t>
            </w:r>
          </w:p>
          <w:p>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经组织评价，组织策划的措施基本能够满足风险和机遇应对需要，能够与识别的风险和机遇对产品符合性的潜在影响相适应，措施融入管理体系中并明确了对措施有效性评价的方法，基本满足标准要求。</w:t>
            </w:r>
          </w:p>
        </w:tc>
        <w:tc>
          <w:tcPr>
            <w:tcW w:w="851" w:type="dxa"/>
            <w:noWrap w:val="0"/>
            <w:vAlign w:val="top"/>
          </w:tcPr>
          <w:p>
            <w:pPr>
              <w:spacing w:line="360" w:lineRule="auto"/>
              <w:rPr>
                <w:rFonts w:hint="eastAsia" w:ascii="仿宋" w:hAnsi="仿宋" w:eastAsia="仿宋" w:cs="仿宋"/>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运行控制</w:t>
            </w:r>
          </w:p>
        </w:tc>
        <w:tc>
          <w:tcPr>
            <w:tcW w:w="960" w:type="dxa"/>
            <w:noWrap w:val="0"/>
            <w:vAlign w:val="center"/>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O：8.1</w:t>
            </w:r>
          </w:p>
        </w:tc>
        <w:tc>
          <w:tcPr>
            <w:tcW w:w="10756" w:type="dxa"/>
            <w:noWrap w:val="0"/>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公司制定并实施了《运行控制程序》、《消防安全控制程序》、《员工健康卫生控制程序》、安全生产管理条例、安全生产现场管理制度等与职业健康安全控制程序和管理制度。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公司位于</w:t>
            </w:r>
            <w:bookmarkStart w:id="0" w:name="生产地址"/>
            <w:r>
              <w:rPr>
                <w:rFonts w:hint="eastAsia" w:ascii="仿宋" w:hAnsi="仿宋" w:eastAsia="仿宋" w:cs="仿宋"/>
                <w:sz w:val="24"/>
                <w:szCs w:val="24"/>
              </w:rPr>
              <w:t>河北省唐山市滦南县扒齿港镇唐港公路北侧</w:t>
            </w:r>
            <w:bookmarkEnd w:id="0"/>
            <w:r>
              <w:rPr>
                <w:rFonts w:hint="eastAsia" w:ascii="仿宋" w:hAnsi="仿宋" w:eastAsia="仿宋" w:cs="仿宋"/>
                <w:sz w:val="24"/>
                <w:szCs w:val="24"/>
              </w:rPr>
              <w:t>，企业属于</w:t>
            </w:r>
            <w:r>
              <w:rPr>
                <w:rFonts w:hint="eastAsia" w:ascii="仿宋" w:hAnsi="仿宋" w:eastAsia="仿宋" w:cs="仿宋"/>
                <w:sz w:val="24"/>
                <w:szCs w:val="24"/>
                <w:lang w:val="en-US" w:eastAsia="zh-CN"/>
              </w:rPr>
              <w:t>汽车拆解回收</w:t>
            </w:r>
            <w:r>
              <w:rPr>
                <w:rFonts w:hint="eastAsia" w:ascii="仿宋" w:hAnsi="仿宋" w:eastAsia="仿宋" w:cs="仿宋"/>
                <w:sz w:val="24"/>
                <w:szCs w:val="24"/>
              </w:rPr>
              <w:t>行业。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四周是其他企业，无重大河流、名胜古迹、医院、学校等敏感区，根据体系运行的需要设置了车间、仓库、办公室。公司院内有停车位，厂区道路平稳、畅通，无遮挡物，厂区内有少量绿化树木，有分类垃圾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业务部</w:t>
            </w:r>
            <w:r>
              <w:rPr>
                <w:rFonts w:hint="eastAsia" w:ascii="仿宋" w:hAnsi="仿宋" w:eastAsia="仿宋" w:cs="仿宋"/>
                <w:sz w:val="24"/>
                <w:szCs w:val="24"/>
              </w:rPr>
              <w:t>内主要是电的使用，经常对电路、电源进行检查，没有露电现象发生。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查到202</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.15日发放的劳保用品有：防护口罩、防护手套。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现场巡视办公区域灭火器正常，电线、电气插座完整，未见隐患。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查对供方、承包商、外包方等外来人员和临时人员的管理：</w:t>
            </w:r>
            <w:r>
              <w:rPr>
                <w:rFonts w:hint="eastAsia" w:ascii="仿宋" w:hAnsi="仿宋" w:eastAsia="仿宋" w:cs="仿宋"/>
                <w:sz w:val="24"/>
                <w:szCs w:val="24"/>
                <w:lang w:val="en-US" w:eastAsia="zh-CN"/>
              </w:rPr>
              <w:t>综合部</w:t>
            </w:r>
            <w:r>
              <w:rPr>
                <w:rFonts w:hint="eastAsia" w:ascii="仿宋" w:hAnsi="仿宋" w:eastAsia="仿宋" w:cs="仿宋"/>
                <w:sz w:val="24"/>
                <w:szCs w:val="24"/>
              </w:rPr>
              <w:t>主任对外来人员和临时人员进行告知，本公司禁止吸烟，不得到处走动，需遵守公司的规章制度。审核时未发现外来人员和临时人员来厂的情况。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体系运行以来未发生过变更，对变更的一些注意事项和要求已明确。</w:t>
            </w:r>
          </w:p>
          <w:p>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部门运行控制基本符合规定要求。</w:t>
            </w:r>
          </w:p>
        </w:tc>
        <w:tc>
          <w:tcPr>
            <w:tcW w:w="851" w:type="dxa"/>
            <w:noWrap w:val="0"/>
            <w:vAlign w:val="top"/>
          </w:tcPr>
          <w:p>
            <w:pPr>
              <w:spacing w:line="360" w:lineRule="auto"/>
              <w:rPr>
                <w:rFonts w:hint="eastAsia" w:ascii="仿宋" w:hAnsi="仿宋" w:eastAsia="仿宋" w:cs="仿宋"/>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应急准备和响应</w:t>
            </w:r>
          </w:p>
        </w:tc>
        <w:tc>
          <w:tcPr>
            <w:tcW w:w="960" w:type="dxa"/>
            <w:noWrap w:val="0"/>
            <w:vAlign w:val="center"/>
          </w:tcPr>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O：8.2</w:t>
            </w:r>
          </w:p>
        </w:tc>
        <w:tc>
          <w:tcPr>
            <w:tcW w:w="10756"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业务部参加了由公司综合部举行的触电和消防演练。</w:t>
            </w:r>
          </w:p>
        </w:tc>
        <w:tc>
          <w:tcPr>
            <w:tcW w:w="851" w:type="dxa"/>
            <w:noWrap w:val="0"/>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2151"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监视、测量、分析和评价总则</w:t>
            </w:r>
          </w:p>
          <w:p>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监视和测量</w:t>
            </w:r>
          </w:p>
        </w:tc>
        <w:tc>
          <w:tcPr>
            <w:tcW w:w="96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O:</w:t>
            </w:r>
          </w:p>
          <w:p>
            <w:pPr>
              <w:tabs>
                <w:tab w:val="left" w:pos="6597"/>
              </w:tabs>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 xml:space="preserve">9.1.1 </w:t>
            </w:r>
          </w:p>
        </w:tc>
        <w:tc>
          <w:tcPr>
            <w:tcW w:w="10756"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公司编制《绩效测量与监测管理程序》，部门通过月度巡查考核对各部门进行监控。</w:t>
            </w:r>
          </w:p>
          <w:p>
            <w:pPr>
              <w:widowControl/>
              <w:numPr>
                <w:ilvl w:val="0"/>
                <w:numId w:val="1"/>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查《20</w:t>
            </w:r>
            <w:r>
              <w:rPr>
                <w:rFonts w:hint="eastAsia" w:ascii="仿宋" w:hAnsi="仿宋" w:eastAsia="仿宋" w:cs="仿宋"/>
                <w:sz w:val="24"/>
                <w:szCs w:val="24"/>
                <w:lang w:val="en-US" w:eastAsia="zh-CN"/>
              </w:rPr>
              <w:t>22</w:t>
            </w:r>
            <w:r>
              <w:rPr>
                <w:rFonts w:hint="eastAsia" w:ascii="仿宋" w:hAnsi="仿宋" w:eastAsia="仿宋" w:cs="仿宋"/>
                <w:sz w:val="24"/>
                <w:szCs w:val="24"/>
              </w:rPr>
              <w:t>年度目标分解及考核结果》，202</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.30日对质量、环境、职业健康安全目标完成情况进行了检查，已完成。</w:t>
            </w:r>
          </w:p>
          <w:p>
            <w:pPr>
              <w:widowControl/>
              <w:numPr>
                <w:ilvl w:val="0"/>
                <w:numId w:val="1"/>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提供202</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1-6月</w:t>
            </w:r>
            <w:r>
              <w:rPr>
                <w:rFonts w:hint="eastAsia" w:ascii="仿宋" w:hAnsi="仿宋" w:eastAsia="仿宋" w:cs="仿宋"/>
                <w:sz w:val="24"/>
                <w:szCs w:val="24"/>
              </w:rPr>
              <w:t>《安全环境检查记录》，对各部门进行环境安全事项的例行检查，检查项目包括消防通道、贷物储藏、安全疏散、消防设施、消防器材、消防安全管理、防火巡查、防火应急疏散预案、环境卫生、环境防护、电器安全等。经检查均合格，检查人：赖姬妙、</w:t>
            </w:r>
            <w:r>
              <w:rPr>
                <w:rFonts w:hint="eastAsia" w:ascii="仿宋" w:hAnsi="仿宋" w:eastAsia="仿宋" w:cs="仿宋"/>
                <w:sz w:val="24"/>
                <w:szCs w:val="24"/>
                <w:lang w:eastAsia="zh-CN"/>
              </w:rPr>
              <w:t>屠菊蕾</w:t>
            </w:r>
            <w:r>
              <w:rPr>
                <w:rFonts w:hint="eastAsia" w:ascii="仿宋" w:hAnsi="仿宋" w:eastAsia="仿宋" w:cs="仿宋"/>
                <w:sz w:val="24"/>
                <w:szCs w:val="24"/>
              </w:rPr>
              <w:t>、万祥、万泉等。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综合部</w:t>
            </w:r>
            <w:r>
              <w:rPr>
                <w:rFonts w:hint="eastAsia" w:ascii="仿宋" w:hAnsi="仿宋" w:eastAsia="仿宋" w:cs="仿宋"/>
                <w:sz w:val="24"/>
                <w:szCs w:val="24"/>
              </w:rPr>
              <w:t>主任负责员工健康的监视，员工每天进行考勤，上班开始后</w:t>
            </w:r>
            <w:r>
              <w:rPr>
                <w:rFonts w:hint="eastAsia" w:ascii="仿宋" w:hAnsi="仿宋" w:eastAsia="仿宋" w:cs="仿宋"/>
                <w:sz w:val="24"/>
                <w:szCs w:val="24"/>
                <w:lang w:val="en-US" w:eastAsia="zh-CN"/>
              </w:rPr>
              <w:t>办公室</w:t>
            </w:r>
            <w:r>
              <w:rPr>
                <w:rFonts w:hint="eastAsia" w:ascii="仿宋" w:hAnsi="仿宋" w:eastAsia="仿宋" w:cs="仿宋"/>
                <w:sz w:val="24"/>
                <w:szCs w:val="24"/>
              </w:rPr>
              <w:t>主任会巡视有无员工缺席，如有生病需要请假，在考勤记录中予以登记，回来后销假登记。</w:t>
            </w:r>
          </w:p>
          <w:p>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sz w:val="24"/>
                <w:szCs w:val="24"/>
              </w:rPr>
              <w:t>组织监视和测量管理的控制能符合策划要求。</w:t>
            </w:r>
          </w:p>
        </w:tc>
        <w:tc>
          <w:tcPr>
            <w:tcW w:w="851" w:type="dxa"/>
            <w:noWrap w:val="0"/>
            <w:vAlign w:val="top"/>
          </w:tcPr>
          <w:p>
            <w:pPr>
              <w:spacing w:line="360" w:lineRule="auto"/>
              <w:rPr>
                <w:rFonts w:hint="eastAsia" w:ascii="仿宋" w:hAnsi="仿宋" w:eastAsia="仿宋" w:cs="仿宋"/>
                <w:color w:val="auto"/>
                <w:sz w:val="24"/>
                <w:szCs w:val="24"/>
                <w:highlight w:val="none"/>
                <w:u w:val="none"/>
                <w:lang w:val="en-US" w:eastAsia="zh-CN"/>
              </w:rPr>
            </w:pPr>
          </w:p>
        </w:tc>
      </w:tr>
    </w:tbl>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说明：不符合标注N</w:t>
      </w:r>
      <w:bookmarkStart w:id="1" w:name="_GoBack"/>
      <w:bookmarkEnd w:id="1"/>
    </w:p>
    <w:p>
      <w:pPr>
        <w:pStyle w:val="7"/>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A54BD"/>
    <w:multiLevelType w:val="singleLevel"/>
    <w:tmpl w:val="558A54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004323D6"/>
    <w:rsid w:val="00E61F7F"/>
    <w:rsid w:val="00FD3FD6"/>
    <w:rsid w:val="01464AA8"/>
    <w:rsid w:val="027175B6"/>
    <w:rsid w:val="031C589E"/>
    <w:rsid w:val="06207810"/>
    <w:rsid w:val="06741D60"/>
    <w:rsid w:val="06B55F62"/>
    <w:rsid w:val="06DE7A61"/>
    <w:rsid w:val="08E41FEA"/>
    <w:rsid w:val="0967445C"/>
    <w:rsid w:val="0996529A"/>
    <w:rsid w:val="0A7B39B5"/>
    <w:rsid w:val="0B7F34A4"/>
    <w:rsid w:val="0C0A59B8"/>
    <w:rsid w:val="0C1365AA"/>
    <w:rsid w:val="0C914263"/>
    <w:rsid w:val="0E151648"/>
    <w:rsid w:val="0EBC2473"/>
    <w:rsid w:val="0ED671DD"/>
    <w:rsid w:val="0EDA78CC"/>
    <w:rsid w:val="0F0C7EAD"/>
    <w:rsid w:val="0F1F0E8B"/>
    <w:rsid w:val="0F2E2DB3"/>
    <w:rsid w:val="10660320"/>
    <w:rsid w:val="11571432"/>
    <w:rsid w:val="11F7379E"/>
    <w:rsid w:val="12AE3F6F"/>
    <w:rsid w:val="1311508A"/>
    <w:rsid w:val="135F66DE"/>
    <w:rsid w:val="147D3C55"/>
    <w:rsid w:val="152242A1"/>
    <w:rsid w:val="15545397"/>
    <w:rsid w:val="15D76A93"/>
    <w:rsid w:val="15F16ABD"/>
    <w:rsid w:val="164E46D8"/>
    <w:rsid w:val="16C120CF"/>
    <w:rsid w:val="16FF7C2A"/>
    <w:rsid w:val="17932FC2"/>
    <w:rsid w:val="17AA5AAF"/>
    <w:rsid w:val="194E45C7"/>
    <w:rsid w:val="197F7AA5"/>
    <w:rsid w:val="1A7C4895"/>
    <w:rsid w:val="1AD539DC"/>
    <w:rsid w:val="1AD94BCD"/>
    <w:rsid w:val="1BF368E9"/>
    <w:rsid w:val="1BF55B77"/>
    <w:rsid w:val="1D031D15"/>
    <w:rsid w:val="1EFC0132"/>
    <w:rsid w:val="1FAB06DC"/>
    <w:rsid w:val="21EB2A80"/>
    <w:rsid w:val="240A7676"/>
    <w:rsid w:val="243D0AAB"/>
    <w:rsid w:val="24780A2C"/>
    <w:rsid w:val="25BC0533"/>
    <w:rsid w:val="265F4F56"/>
    <w:rsid w:val="2672095F"/>
    <w:rsid w:val="26CF6D6A"/>
    <w:rsid w:val="278D2493"/>
    <w:rsid w:val="28892939"/>
    <w:rsid w:val="29012E36"/>
    <w:rsid w:val="29A0324F"/>
    <w:rsid w:val="29FA6371"/>
    <w:rsid w:val="2A236A89"/>
    <w:rsid w:val="2A316F49"/>
    <w:rsid w:val="2CB613A0"/>
    <w:rsid w:val="2D0E2103"/>
    <w:rsid w:val="2E1625AB"/>
    <w:rsid w:val="2E980D14"/>
    <w:rsid w:val="2F305166"/>
    <w:rsid w:val="2F35312B"/>
    <w:rsid w:val="2FFC725E"/>
    <w:rsid w:val="307B55BB"/>
    <w:rsid w:val="31127DD7"/>
    <w:rsid w:val="31896ADF"/>
    <w:rsid w:val="32256C43"/>
    <w:rsid w:val="323E0B06"/>
    <w:rsid w:val="32563097"/>
    <w:rsid w:val="32A5049E"/>
    <w:rsid w:val="3371281D"/>
    <w:rsid w:val="339F2AEB"/>
    <w:rsid w:val="340339CC"/>
    <w:rsid w:val="34BD502A"/>
    <w:rsid w:val="35196D25"/>
    <w:rsid w:val="370F396D"/>
    <w:rsid w:val="37505DDB"/>
    <w:rsid w:val="383D33E5"/>
    <w:rsid w:val="3A165C81"/>
    <w:rsid w:val="3AFF6BAC"/>
    <w:rsid w:val="3DEE79DF"/>
    <w:rsid w:val="3E491A09"/>
    <w:rsid w:val="3F4260B0"/>
    <w:rsid w:val="3FAC68B0"/>
    <w:rsid w:val="404A69B2"/>
    <w:rsid w:val="41077890"/>
    <w:rsid w:val="41E26910"/>
    <w:rsid w:val="430352D3"/>
    <w:rsid w:val="4342332B"/>
    <w:rsid w:val="44935CDD"/>
    <w:rsid w:val="451840D2"/>
    <w:rsid w:val="457F2B2E"/>
    <w:rsid w:val="45ED1650"/>
    <w:rsid w:val="46674800"/>
    <w:rsid w:val="46A50ED0"/>
    <w:rsid w:val="48BB6F05"/>
    <w:rsid w:val="49087D7D"/>
    <w:rsid w:val="49311C68"/>
    <w:rsid w:val="4A366D3F"/>
    <w:rsid w:val="4A5E2BE4"/>
    <w:rsid w:val="4A836C3B"/>
    <w:rsid w:val="4ABF32B1"/>
    <w:rsid w:val="4C047CE4"/>
    <w:rsid w:val="4CA040B6"/>
    <w:rsid w:val="4D5E4F3C"/>
    <w:rsid w:val="4F70133E"/>
    <w:rsid w:val="50700791"/>
    <w:rsid w:val="507D105C"/>
    <w:rsid w:val="50F47650"/>
    <w:rsid w:val="51716E50"/>
    <w:rsid w:val="52321197"/>
    <w:rsid w:val="52922059"/>
    <w:rsid w:val="531A206A"/>
    <w:rsid w:val="53404A7D"/>
    <w:rsid w:val="54AF00CD"/>
    <w:rsid w:val="54B3498F"/>
    <w:rsid w:val="55A33EDA"/>
    <w:rsid w:val="55C8279A"/>
    <w:rsid w:val="56012C0A"/>
    <w:rsid w:val="584820D5"/>
    <w:rsid w:val="5A076CE2"/>
    <w:rsid w:val="5A1E6100"/>
    <w:rsid w:val="5B0B08F8"/>
    <w:rsid w:val="5C3337A5"/>
    <w:rsid w:val="5CB82648"/>
    <w:rsid w:val="5D2E7EE2"/>
    <w:rsid w:val="5DC413E8"/>
    <w:rsid w:val="5DF33BD4"/>
    <w:rsid w:val="5DFC71DF"/>
    <w:rsid w:val="5E4116F1"/>
    <w:rsid w:val="616E0F85"/>
    <w:rsid w:val="61992E13"/>
    <w:rsid w:val="64614F9C"/>
    <w:rsid w:val="65105C42"/>
    <w:rsid w:val="664E496C"/>
    <w:rsid w:val="6B2F5F71"/>
    <w:rsid w:val="6D5A6380"/>
    <w:rsid w:val="6D74724D"/>
    <w:rsid w:val="6DAD6922"/>
    <w:rsid w:val="6E587A54"/>
    <w:rsid w:val="6EA048F3"/>
    <w:rsid w:val="6ED04BCB"/>
    <w:rsid w:val="6EDC7CB2"/>
    <w:rsid w:val="73895261"/>
    <w:rsid w:val="74333568"/>
    <w:rsid w:val="74E10A91"/>
    <w:rsid w:val="75555125"/>
    <w:rsid w:val="76F22F4F"/>
    <w:rsid w:val="77D63ADA"/>
    <w:rsid w:val="783554DE"/>
    <w:rsid w:val="784E2769"/>
    <w:rsid w:val="789F779F"/>
    <w:rsid w:val="78BE1ACF"/>
    <w:rsid w:val="796460E1"/>
    <w:rsid w:val="79B6520F"/>
    <w:rsid w:val="7AA91232"/>
    <w:rsid w:val="7BC156CB"/>
    <w:rsid w:val="7C3E0958"/>
    <w:rsid w:val="7CE41CD1"/>
    <w:rsid w:val="7D0D0697"/>
    <w:rsid w:val="7E03324F"/>
    <w:rsid w:val="7E674A88"/>
    <w:rsid w:val="7E875B0C"/>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3"/>
    <w:qFormat/>
    <w:uiPriority w:val="0"/>
    <w:pPr>
      <w:spacing w:after="120"/>
    </w:pPr>
    <w:rPr>
      <w:szCs w:val="24"/>
    </w:rPr>
  </w:style>
  <w:style w:type="paragraph" w:styleId="5">
    <w:name w:val="Body Text Indent"/>
    <w:basedOn w:val="1"/>
    <w:qFormat/>
    <w:uiPriority w:val="0"/>
    <w:pPr>
      <w:spacing w:line="440" w:lineRule="exact"/>
      <w:ind w:firstLine="420" w:firstLineChars="200"/>
    </w:p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1532</Words>
  <Characters>1645</Characters>
  <Lines>1</Lines>
  <Paragraphs>1</Paragraphs>
  <TotalTime>5</TotalTime>
  <ScaleCrop>false</ScaleCrop>
  <LinksUpToDate>false</LinksUpToDate>
  <CharactersWithSpaces>1678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2022-07-23T15:44:08Z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