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5"/>
        <w:gridCol w:w="19"/>
        <w:gridCol w:w="936"/>
        <w:gridCol w:w="2"/>
        <w:gridCol w:w="743"/>
        <w:gridCol w:w="2"/>
        <w:gridCol w:w="9262"/>
        <w:gridCol w:w="8"/>
        <w:gridCol w:w="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84"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7" w:type="dxa"/>
            <w:gridSpan w:val="5"/>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 xml:space="preserve">负责人：刘军 </w:t>
            </w:r>
            <w:r>
              <w:rPr>
                <w:sz w:val="24"/>
                <w:szCs w:val="24"/>
              </w:rPr>
              <w:t xml:space="preserve">   </w:t>
            </w:r>
            <w:r>
              <w:rPr>
                <w:rFonts w:hint="eastAsia"/>
                <w:sz w:val="24"/>
                <w:szCs w:val="24"/>
              </w:rPr>
              <w:t xml:space="preserve">陪同人员：邓燕灿 </w:t>
            </w:r>
          </w:p>
        </w:tc>
        <w:tc>
          <w:tcPr>
            <w:tcW w:w="1577"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84" w:type="dxa"/>
            <w:gridSpan w:val="3"/>
            <w:vMerge w:val="continue"/>
            <w:vAlign w:val="center"/>
          </w:tcPr>
          <w:p/>
        </w:tc>
        <w:tc>
          <w:tcPr>
            <w:tcW w:w="936" w:type="dxa"/>
            <w:vMerge w:val="continue"/>
            <w:vAlign w:val="center"/>
          </w:tcPr>
          <w:p/>
        </w:tc>
        <w:tc>
          <w:tcPr>
            <w:tcW w:w="10017" w:type="dxa"/>
            <w:gridSpan w:val="5"/>
            <w:vAlign w:val="center"/>
          </w:tcPr>
          <w:p>
            <w:pPr>
              <w:spacing w:before="120"/>
            </w:pPr>
            <w:r>
              <w:rPr>
                <w:rFonts w:hint="eastAsia"/>
                <w:sz w:val="24"/>
                <w:szCs w:val="24"/>
              </w:rPr>
              <w:t>审核员：吴思彦（远程Q，实习E），罗芳（实习Q）(远程) 远程审核方式【微信、电话、腾讯会议】</w:t>
            </w:r>
            <w:r>
              <w:rPr>
                <w:sz w:val="24"/>
                <w:szCs w:val="24"/>
              </w:rPr>
              <w:t xml:space="preserve">   </w:t>
            </w:r>
            <w:r>
              <w:rPr>
                <w:rFonts w:hint="eastAsia"/>
                <w:sz w:val="24"/>
                <w:szCs w:val="24"/>
              </w:rPr>
              <w:t>审核日期：2</w:t>
            </w:r>
            <w:r>
              <w:rPr>
                <w:sz w:val="24"/>
                <w:szCs w:val="24"/>
              </w:rPr>
              <w:t>02</w:t>
            </w:r>
            <w:r>
              <w:rPr>
                <w:rFonts w:hint="eastAsia"/>
                <w:sz w:val="24"/>
                <w:szCs w:val="24"/>
              </w:rPr>
              <w:t>2-7-18</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84" w:type="dxa"/>
            <w:gridSpan w:val="3"/>
            <w:vMerge w:val="continue"/>
            <w:vAlign w:val="center"/>
          </w:tcPr>
          <w:p/>
        </w:tc>
        <w:tc>
          <w:tcPr>
            <w:tcW w:w="936" w:type="dxa"/>
            <w:vMerge w:val="continue"/>
            <w:vAlign w:val="center"/>
          </w:tcPr>
          <w:p/>
        </w:tc>
        <w:tc>
          <w:tcPr>
            <w:tcW w:w="10017" w:type="dxa"/>
            <w:gridSpan w:val="5"/>
            <w:vAlign w:val="center"/>
          </w:tcPr>
          <w:p>
            <w:pPr>
              <w:rPr>
                <w:sz w:val="24"/>
                <w:szCs w:val="24"/>
              </w:rPr>
            </w:pPr>
            <w:r>
              <w:rPr>
                <w:rFonts w:hint="eastAsia"/>
                <w:sz w:val="24"/>
                <w:szCs w:val="24"/>
              </w:rPr>
              <w:t>审核条款：Q</w:t>
            </w:r>
            <w:r>
              <w:rPr>
                <w:sz w:val="24"/>
                <w:szCs w:val="24"/>
              </w:rPr>
              <w:t>MS:</w:t>
            </w:r>
            <w:r>
              <w:rPr>
                <w:szCs w:val="21"/>
              </w:rPr>
              <w:t>4.1/ 4.2 /4.3/ 4.4/ 5.1/5.2/5.3/6.1/6.2/6.3/7.1.1/</w:t>
            </w:r>
            <w:r>
              <w:rPr>
                <w:rFonts w:hint="eastAsia"/>
                <w:szCs w:val="21"/>
              </w:rPr>
              <w:t>7.4/</w:t>
            </w:r>
            <w:r>
              <w:rPr>
                <w:szCs w:val="21"/>
              </w:rPr>
              <w:t>9.1.1</w:t>
            </w:r>
            <w:r>
              <w:rPr>
                <w:rFonts w:hint="eastAsia"/>
                <w:szCs w:val="21"/>
              </w:rPr>
              <w:t>/</w:t>
            </w:r>
            <w:r>
              <w:rPr>
                <w:szCs w:val="21"/>
              </w:rPr>
              <w:t>9.3</w:t>
            </w:r>
            <w:r>
              <w:rPr>
                <w:rFonts w:hint="eastAsia"/>
                <w:szCs w:val="21"/>
              </w:rPr>
              <w:t>/</w:t>
            </w:r>
            <w:r>
              <w:rPr>
                <w:szCs w:val="21"/>
              </w:rPr>
              <w:t>10.1/</w:t>
            </w:r>
            <w:r>
              <w:rPr>
                <w:rFonts w:hint="eastAsia"/>
                <w:szCs w:val="21"/>
              </w:rPr>
              <w:t>10.2/</w:t>
            </w:r>
            <w:r>
              <w:rPr>
                <w:szCs w:val="21"/>
              </w:rPr>
              <w:t>10.3</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理解组织及其环境</w:t>
            </w:r>
          </w:p>
        </w:tc>
        <w:tc>
          <w:tcPr>
            <w:tcW w:w="936" w:type="dxa"/>
            <w:vMerge w:val="restart"/>
          </w:tcPr>
          <w:p>
            <w:r>
              <w:rPr>
                <w:rFonts w:hint="eastAsia"/>
              </w:rPr>
              <w:t xml:space="preserve">Q4.1 </w:t>
            </w:r>
          </w:p>
        </w:tc>
        <w:tc>
          <w:tcPr>
            <w:tcW w:w="745" w:type="dxa"/>
            <w:gridSpan w:val="2"/>
          </w:tcPr>
          <w:p>
            <w:r>
              <w:rPr>
                <w:rFonts w:hint="eastAsia"/>
              </w:rPr>
              <w:t>文件名称</w:t>
            </w:r>
          </w:p>
        </w:tc>
        <w:tc>
          <w:tcPr>
            <w:tcW w:w="9272" w:type="dxa"/>
            <w:gridSpan w:val="3"/>
          </w:tcPr>
          <w:p>
            <w:r>
              <w:rPr>
                <w:rFonts w:hint="eastAsia"/>
              </w:rPr>
              <w:t>如：</w:t>
            </w:r>
            <w:r>
              <w:rPr/>
              <w:sym w:font="Wingdings" w:char="00FE"/>
            </w:r>
            <w:r>
              <w:rPr>
                <w:rFonts w:hint="eastAsia"/>
              </w:rPr>
              <w:t>《</w:t>
            </w:r>
            <w:r>
              <w:rPr>
                <w:rFonts w:hint="eastAsia" w:ascii="华文中宋" w:hAnsi="华文中宋" w:eastAsia="华文中宋" w:cs="宋体"/>
                <w:szCs w:val="21"/>
              </w:rPr>
              <w:t>公司环境分析控制程序</w:t>
            </w:r>
            <w:r>
              <w:rPr>
                <w:rFonts w:hint="eastAsia"/>
              </w:rPr>
              <w:t>》、</w:t>
            </w:r>
            <w:r>
              <w:rPr/>
              <w:sym w:font="Wingdings" w:char="00FE"/>
            </w:r>
            <w:r>
              <w:rPr>
                <w:rFonts w:hint="eastAsia"/>
              </w:rPr>
              <w:t>管理手册第4.1章</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sym w:font="Wingdings" w:char="00FE"/>
                  </w:r>
                  <w:r>
                    <w:rPr>
                      <w:rFonts w:hint="eastAsia"/>
                    </w:rPr>
                    <w:t xml:space="preserve">法律法规 </w:t>
                  </w:r>
                  <w:r>
                    <w:rPr/>
                    <w:sym w:font="Wingdings" w:char="00FE"/>
                  </w:r>
                  <w:r>
                    <w:rPr>
                      <w:rFonts w:hint="eastAsia"/>
                    </w:rPr>
                    <w:t xml:space="preserve">技术 </w:t>
                  </w:r>
                  <w:r>
                    <w:rPr/>
                    <w:sym w:font="Wingdings" w:char="00FE"/>
                  </w:r>
                  <w:r>
                    <w:rPr>
                      <w:rFonts w:hint="eastAsia"/>
                    </w:rPr>
                    <w:t xml:space="preserve">竞争 </w:t>
                  </w:r>
                  <w:r>
                    <w:rPr/>
                    <w:sym w:font="Wingdings" w:char="00FE"/>
                  </w:r>
                  <w:r>
                    <w:rPr>
                      <w:rFonts w:hint="eastAsia"/>
                    </w:rPr>
                    <w:t xml:space="preserve">市场 □文化 </w:t>
                  </w:r>
                  <w:r>
                    <w:rPr/>
                    <w:sym w:font="Wingdings" w:char="00FE"/>
                  </w:r>
                  <w:r>
                    <w:rPr>
                      <w:rFonts w:hint="eastAsia"/>
                    </w:rPr>
                    <w:t xml:space="preserve">社会 </w:t>
                  </w:r>
                  <w:r>
                    <w:rPr/>
                    <w:sym w:font="Wingdings" w:char="00FE"/>
                  </w:r>
                  <w:r>
                    <w:rPr>
                      <w:rFonts w:hint="eastAsia"/>
                    </w:rPr>
                    <w:t xml:space="preserve">经济环境 </w:t>
                  </w:r>
                  <w:r>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机会：市场需求急剧增加、客户良好关系、服务行业向好</w:t>
                  </w:r>
                </w:p>
                <w:p>
                  <w:pPr>
                    <w:pStyle w:val="6"/>
                    <w:rPr>
                      <w:sz w:val="21"/>
                      <w:szCs w:val="20"/>
                    </w:rPr>
                  </w:pPr>
                  <w:r>
                    <w:rPr>
                      <w:rFonts w:hint="eastAsia"/>
                      <w:sz w:val="21"/>
                      <w:szCs w:val="20"/>
                    </w:rPr>
                    <w:t>威胁：行业参差不齐、竞争对手增加、客户讨价还价能力增加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sym w:font="Wingdings" w:char="00FE"/>
                  </w:r>
                  <w:r>
                    <w:rPr>
                      <w:rFonts w:hint="eastAsia"/>
                    </w:rPr>
                    <w:t xml:space="preserve">价值观  </w:t>
                  </w:r>
                  <w:r>
                    <w:rPr/>
                    <w:sym w:font="Wingdings" w:char="00FE"/>
                  </w:r>
                  <w:r>
                    <w:rPr>
                      <w:rFonts w:hint="eastAsia"/>
                    </w:rPr>
                    <w:t xml:space="preserve">文化  </w:t>
                  </w:r>
                  <w:r>
                    <w:rPr/>
                    <w:sym w:font="Wingdings" w:char="00FE"/>
                  </w:r>
                  <w:r>
                    <w:rPr>
                      <w:rFonts w:hint="eastAsia"/>
                    </w:rPr>
                    <w:t xml:space="preserve">知识 </w:t>
                  </w:r>
                  <w:r>
                    <w:rPr/>
                    <w:sym w:font="Wingdings" w:char="00FE"/>
                  </w:r>
                  <w:r>
                    <w:rPr>
                      <w:rFonts w:hint="eastAsia"/>
                    </w:rPr>
                    <w:t xml:space="preserve">绩效 □工艺 □设备 </w:t>
                  </w:r>
                  <w:r>
                    <w:rPr/>
                    <w:sym w:font="Wingdings" w:char="00FE"/>
                  </w:r>
                  <w:r>
                    <w:rPr>
                      <w:rFonts w:hint="eastAsia"/>
                    </w:rPr>
                    <w:t xml:space="preserve">人员能力 </w:t>
                  </w:r>
                  <w:r>
                    <w:rPr/>
                    <w:sym w:font="Wingdings" w:char="00FE"/>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地下管线检测服务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hint="eastAsia"/>
                    </w:rPr>
                    <w:t>行业经验丰富、人员稳定、与央企及国企合作准入门槛较高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ascii="Arial Narrow" w:hAnsi="Arial Narrow" w:cs="宋体"/>
                      <w:kern w:val="0"/>
                      <w:szCs w:val="21"/>
                    </w:rPr>
                    <w:t>行业门槛</w:t>
                  </w:r>
                  <w:r>
                    <w:rPr>
                      <w:rFonts w:ascii="Arial Narrow" w:hAnsi="Arial Narrow" w:cs="宋体"/>
                      <w:kern w:val="0"/>
                      <w:szCs w:val="21"/>
                    </w:rPr>
                    <w:t>低</w:t>
                  </w:r>
                  <w:r>
                    <w:rPr>
                      <w:rFonts w:hint="eastAsia" w:ascii="Arial Narrow" w:hAnsi="Arial Narrow" w:cs="宋体"/>
                      <w:kern w:val="0"/>
                      <w:szCs w:val="21"/>
                    </w:rPr>
                    <w:t>、同类公司数量多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ascii="Arial Narrow" w:hAnsi="Arial Narrow" w:cs="宋体"/>
                      <w:kern w:val="0"/>
                      <w:szCs w:val="21"/>
                    </w:rPr>
                    <w:t>在检测作业过程中由于操作等原因导致测量结果存疑，客户拒绝验收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机遇的说明</w:t>
                  </w:r>
                </w:p>
              </w:tc>
              <w:tc>
                <w:tcPr>
                  <w:tcW w:w="737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地下管线行业近几年政府关注度高，监管较严</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sym w:font="Wingdings" w:char="00FE"/>
            </w:r>
            <w:r>
              <w:rPr>
                <w:rFonts w:hint="eastAsia"/>
              </w:rPr>
              <w:t>《</w:t>
            </w:r>
            <w:r>
              <w:rPr>
                <w:rFonts w:hint="eastAsia"/>
                <w:szCs w:val="22"/>
              </w:rPr>
              <w:t>内、外部经营环境因素评价</w:t>
            </w:r>
            <w:r>
              <w:rPr>
                <w:rFonts w:hint="eastAsia"/>
              </w:rPr>
              <w:t xml:space="preserve">》 </w:t>
            </w:r>
            <w:r>
              <w:rPr>
                <w:rFonts w:hint="eastAsia"/>
                <w:color w:val="FF0000"/>
              </w:rPr>
              <w:t xml:space="preserve"> </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理解相关方的需求和期望</w:t>
            </w:r>
          </w:p>
        </w:tc>
        <w:tc>
          <w:tcPr>
            <w:tcW w:w="936" w:type="dxa"/>
            <w:vMerge w:val="restart"/>
          </w:tcPr>
          <w:p>
            <w:r>
              <w:rPr>
                <w:rFonts w:hint="eastAsia"/>
              </w:rPr>
              <w:t xml:space="preserve">Q4.2 </w:t>
            </w:r>
          </w:p>
        </w:tc>
        <w:tc>
          <w:tcPr>
            <w:tcW w:w="745" w:type="dxa"/>
            <w:gridSpan w:val="2"/>
          </w:tcPr>
          <w:p>
            <w:r>
              <w:rPr>
                <w:rFonts w:hint="eastAsia"/>
              </w:rPr>
              <w:t>文件名称</w:t>
            </w:r>
          </w:p>
        </w:tc>
        <w:tc>
          <w:tcPr>
            <w:tcW w:w="9272" w:type="dxa"/>
            <w:gridSpan w:val="3"/>
          </w:tcPr>
          <w:p>
            <w:r>
              <w:rPr>
                <w:rFonts w:hint="eastAsia"/>
              </w:rPr>
              <w:t>如：</w:t>
            </w:r>
            <w:r>
              <w:rPr/>
              <w:sym w:font="Wingdings" w:char="00FE"/>
            </w:r>
            <w:r>
              <w:rPr>
                <w:rFonts w:hint="eastAsia"/>
              </w:rPr>
              <w:t>《</w:t>
            </w:r>
            <w:r>
              <w:rPr>
                <w:rFonts w:hint="eastAsia" w:ascii="华文中宋" w:hAnsi="华文中宋" w:eastAsia="华文中宋" w:cs="宋体"/>
                <w:szCs w:val="21"/>
              </w:rPr>
              <w:t>对相关方的管理程序</w:t>
            </w:r>
            <w:r>
              <w:rPr>
                <w:rFonts w:hint="eastAsia"/>
              </w:rPr>
              <w:t>》、</w:t>
            </w:r>
            <w:r>
              <w:rPr/>
              <w:sym w:font="Wingdings" w:char="00FE"/>
            </w:r>
            <w:r>
              <w:rPr>
                <w:rFonts w:hint="eastAsia"/>
              </w:rPr>
              <w:t>管理手册第4.2章</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rPr>
                <w:color w:val="000000"/>
                <w:szCs w:val="21"/>
              </w:rPr>
            </w:pPr>
            <w:r>
              <w:rPr>
                <w:rFonts w:hint="eastAsia"/>
                <w:color w:val="000000"/>
                <w:szCs w:val="21"/>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主管部门</w:t>
                  </w:r>
                </w:p>
              </w:tc>
              <w:tc>
                <w:tcPr>
                  <w:tcW w:w="3805" w:type="dxa"/>
                </w:tcPr>
                <w:p>
                  <w:r>
                    <w:rPr>
                      <w:rFonts w:hint="eastAsia"/>
                    </w:rPr>
                    <w:t>广州市市场监督管理局、南沙区市场监督管理局</w:t>
                  </w:r>
                </w:p>
              </w:tc>
              <w:tc>
                <w:tcPr>
                  <w:tcW w:w="3625" w:type="dxa"/>
                </w:tcPr>
                <w:p>
                  <w:r>
                    <w:rPr/>
                    <w:sym w:font="Wingdings" w:char="00FE"/>
                  </w:r>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供方</w:t>
                  </w:r>
                </w:p>
              </w:tc>
              <w:tc>
                <w:tcPr>
                  <w:tcW w:w="3805" w:type="dxa"/>
                </w:tcPr>
                <w:p>
                  <w:r>
                    <w:rPr>
                      <w:rFonts w:hint="eastAsia"/>
                    </w:rPr>
                    <w:t>武汉中仪物联技术股份有限公司、广州速威智能系统科技有限公司、广州南方测绘科技股份有限公司广州分公司</w:t>
                  </w:r>
                </w:p>
              </w:tc>
              <w:tc>
                <w:tcPr>
                  <w:tcW w:w="3625" w:type="dxa"/>
                </w:tcPr>
                <w:p>
                  <w:r>
                    <w:rPr/>
                    <w:sym w:font="Wingdings" w:char="00FE"/>
                  </w:r>
                  <w:r>
                    <w:rPr>
                      <w:rFonts w:hint="eastAsia"/>
                    </w:rPr>
                    <w:t>组织的经营、明示采购要求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顾客</w:t>
                  </w:r>
                </w:p>
              </w:tc>
              <w:tc>
                <w:tcPr>
                  <w:tcW w:w="3805" w:type="dxa"/>
                </w:tcPr>
                <w:p>
                  <w:r>
                    <w:rPr>
                      <w:rFonts w:hint="eastAsia"/>
                    </w:rPr>
                    <w:t>广州自来水公司</w:t>
                  </w:r>
                </w:p>
                <w:p>
                  <w:r>
                    <w:rPr>
                      <w:rFonts w:hint="eastAsia"/>
                    </w:rPr>
                    <w:t>南沙水务局</w:t>
                  </w:r>
                </w:p>
                <w:p>
                  <w:r>
                    <w:rPr>
                      <w:rFonts w:hint="eastAsia"/>
                    </w:rPr>
                    <w:t>深圳水务集团</w:t>
                  </w:r>
                </w:p>
              </w:tc>
              <w:tc>
                <w:tcPr>
                  <w:tcW w:w="3625" w:type="dxa"/>
                </w:tcPr>
                <w:p>
                  <w:r>
                    <w:rPr/>
                    <w:sym w:font="Wingdings" w:char="00FE"/>
                  </w:r>
                  <w:r>
                    <w:rPr>
                      <w:rFonts w:hint="eastAsia"/>
                    </w:rPr>
                    <w:t>按时按质按量交付产品或服务；</w:t>
                  </w:r>
                </w:p>
                <w:p>
                  <w:r>
                    <w:rPr/>
                    <w:sym w:font="Wingdings" w:char="00FE"/>
                  </w:r>
                  <w:r>
                    <w:rPr>
                      <w:rFonts w:hint="eastAsia"/>
                    </w:rPr>
                    <w:t>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sym w:font="Wingdings" w:char="00FE"/>
                  </w:r>
                  <w:r>
                    <w:rPr>
                      <w:rFonts w:hint="eastAsia"/>
                    </w:rPr>
                    <w:t>员工</w:t>
                  </w:r>
                </w:p>
              </w:tc>
              <w:tc>
                <w:tcPr>
                  <w:tcW w:w="3805" w:type="dxa"/>
                </w:tcPr>
                <w:p>
                  <w:pPr>
                    <w:rPr>
                      <w:szCs w:val="24"/>
                    </w:rPr>
                  </w:pPr>
                  <w:r>
                    <w:rPr>
                      <w:rFonts w:hint="eastAsia"/>
                      <w:color w:val="auto"/>
                      <w:highlight w:val="none"/>
                      <w:vertAlign w:val="baseline"/>
                      <w:lang w:val="en-US" w:eastAsia="zh-CN"/>
                    </w:rPr>
                    <w:t>企业员工</w:t>
                  </w:r>
                </w:p>
              </w:tc>
              <w:tc>
                <w:tcPr>
                  <w:tcW w:w="3625" w:type="dxa"/>
                </w:tcPr>
                <w:p>
                  <w:r>
                    <w:rPr/>
                    <w:sym w:font="Wingdings" w:char="00FE"/>
                  </w:r>
                  <w:r>
                    <w:rPr>
                      <w:rFonts w:hint="eastAsia"/>
                    </w:rPr>
                    <w:t>组织的持续经营、自我发展</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sym w:font="Wingdings" w:char="00FE"/>
                  </w:r>
                  <w:r>
                    <w:rPr>
                      <w:rFonts w:hint="eastAsia"/>
                    </w:rPr>
                    <w:t>投资方</w:t>
                  </w:r>
                </w:p>
              </w:tc>
              <w:tc>
                <w:tcPr>
                  <w:tcW w:w="3805" w:type="dxa"/>
                </w:tcPr>
                <w:p>
                  <w:r>
                    <w:rPr>
                      <w:rFonts w:hint="eastAsia"/>
                    </w:rPr>
                    <w:t>个人</w:t>
                  </w:r>
                </w:p>
              </w:tc>
              <w:tc>
                <w:tcPr>
                  <w:tcW w:w="3625" w:type="dxa"/>
                </w:tcPr>
                <w:p>
                  <w:r>
                    <w:rPr/>
                    <w:sym w:font="Wingdings" w:char="00FE"/>
                  </w:r>
                  <w:r>
                    <w:rPr>
                      <w:rFonts w:hint="eastAsia"/>
                    </w:rPr>
                    <w:t>组织的持续经营、盈利</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sz w:val="24"/>
              </w:rPr>
              <w:t>相关方及相关方要求清单</w:t>
            </w:r>
            <w:r>
              <w:rPr>
                <w:rFonts w:hint="eastAsia"/>
              </w:rPr>
              <w:t xml:space="preserve">》  </w:t>
            </w:r>
            <w:r>
              <w:rPr>
                <w:rFonts w:hint="eastAsia"/>
              </w:rPr>
              <w:sym w:font="Wingdings" w:char="00A8"/>
            </w:r>
            <w:r>
              <w:rPr>
                <w:rFonts w:hint="eastAsia"/>
              </w:rPr>
              <w:t xml:space="preserve">《年度业务计划》 </w:t>
            </w:r>
            <w:r>
              <w:rPr/>
              <w:sym w:font="Wingdings" w:char="00A8"/>
            </w:r>
            <w:r>
              <w:rPr>
                <w:rFonts w:hint="eastAsia"/>
              </w:rPr>
              <w:t>其他</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确定质量管理体系的范围</w:t>
            </w:r>
          </w:p>
        </w:tc>
        <w:tc>
          <w:tcPr>
            <w:tcW w:w="936" w:type="dxa"/>
            <w:vMerge w:val="restart"/>
          </w:tcPr>
          <w:p>
            <w:r>
              <w:rPr>
                <w:rFonts w:hint="eastAsia"/>
              </w:rPr>
              <w:t>Q4.3</w:t>
            </w:r>
          </w:p>
        </w:tc>
        <w:tc>
          <w:tcPr>
            <w:tcW w:w="745" w:type="dxa"/>
            <w:gridSpan w:val="2"/>
          </w:tcPr>
          <w:p>
            <w:r>
              <w:rPr>
                <w:rFonts w:hint="eastAsia"/>
              </w:rPr>
              <w:t>文件名称</w:t>
            </w:r>
          </w:p>
        </w:tc>
        <w:tc>
          <w:tcPr>
            <w:tcW w:w="9272" w:type="dxa"/>
            <w:gridSpan w:val="3"/>
          </w:tcPr>
          <w:p>
            <w:r>
              <w:rPr>
                <w:rFonts w:hint="eastAsia"/>
              </w:rPr>
              <w:t>如：</w:t>
            </w:r>
            <w:r>
              <w:rPr>
                <w:rFonts w:hint="eastAsia"/>
              </w:rPr>
              <w:sym w:font="Wingdings" w:char="00FE"/>
            </w:r>
            <w:r>
              <w:rPr>
                <w:rFonts w:hint="eastAsia"/>
              </w:rPr>
              <w:t>管理手册第0.4章和“公司介绍”</w:t>
            </w:r>
          </w:p>
        </w:tc>
        <w:tc>
          <w:tcPr>
            <w:tcW w:w="1577" w:type="dxa"/>
            <w:gridSpan w:val="2"/>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4117" w:type="dxa"/>
                </w:tcPr>
                <w:p>
                  <w:r>
                    <w:rPr>
                      <w:rFonts w:hint="eastAsia"/>
                      <w:szCs w:val="22"/>
                    </w:rPr>
                    <w:t>地下管线检测</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yellow"/>
                    </w:rPr>
                  </w:pPr>
                  <w:r>
                    <w:rPr>
                      <w:rFonts w:hint="eastAsia"/>
                    </w:rPr>
                    <w:t>经营地址</w:t>
                  </w:r>
                </w:p>
              </w:tc>
              <w:tc>
                <w:tcPr>
                  <w:tcW w:w="4117" w:type="dxa"/>
                </w:tcPr>
                <w:p>
                  <w:pPr>
                    <w:rPr>
                      <w:sz w:val="21"/>
                      <w:szCs w:val="21"/>
                    </w:rPr>
                  </w:pPr>
                  <w:bookmarkStart w:id="0" w:name="生产地址"/>
                  <w:r>
                    <w:rPr>
                      <w:sz w:val="21"/>
                      <w:szCs w:val="21"/>
                    </w:rPr>
                    <w:t>广州市海珠区新港东路2429号首层自编190房（仅限办公）</w:t>
                  </w:r>
                  <w:bookmarkEnd w:id="0"/>
                </w:p>
                <w:p>
                  <w:pPr>
                    <w:pStyle w:val="6"/>
                    <w:rPr>
                      <w:highlight w:val="yellow"/>
                    </w:rPr>
                  </w:pPr>
                  <w:r>
                    <w:rPr>
                      <w:rFonts w:hint="eastAsia"/>
                      <w:color w:val="000000"/>
                      <w:sz w:val="21"/>
                      <w:szCs w:val="21"/>
                      <w:lang w:val="en-US" w:eastAsia="zh-CN"/>
                    </w:rPr>
                    <w:t>广州市南沙区南沙街进港大道581号219房（办公场所）【审核期间变更增加】</w:t>
                  </w:r>
                </w:p>
              </w:tc>
              <w:tc>
                <w:tcPr>
                  <w:tcW w:w="3015" w:type="dxa"/>
                </w:tcPr>
                <w:p>
                  <w:pPr>
                    <w:rPr>
                      <w:rFonts w:hint="eastAsia"/>
                      <w:color w:val="FF0000"/>
                    </w:rPr>
                  </w:pPr>
                  <w:r>
                    <w:rPr>
                      <w:rFonts w:hint="eastAsia"/>
                      <w:color w:val="FF0000"/>
                    </w:rPr>
                    <w:t>查核CMA资质证书发现：</w:t>
                  </w:r>
                </w:p>
                <w:p>
                  <w:r>
                    <w:rPr>
                      <w:rFonts w:hint="eastAsia"/>
                      <w:color w:val="FF0000"/>
                    </w:rPr>
                    <w:t>CMA资质证书编号201919024602，证书有效期至：2025年09月26日，地址为：广州市越秀区建设六马路33号2514房，与企业的营业执照注册地址（广州市海珠区新港东路2429号首层自编190房）及实际经营地址（广州市南沙区南沙街进港大道581号219房），均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与组织结构图一致</w:t>
                  </w: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分支机构，如： </w:t>
                  </w:r>
                  <w:r>
                    <w:rPr>
                      <w:rFonts w:hint="eastAsia"/>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临时场所，如：广州市南沙区南加西纵路5号（技术服务地点）、广州市南沙区南沙街进港大道581号219房（临时办公场所）</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 体系建立以来</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近一年（2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年1月2日）</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41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□8.3产品和服务的设计和开发</w:t>
                  </w:r>
                </w:p>
              </w:tc>
              <w:tc>
                <w:tcPr>
                  <w:tcW w:w="3015" w:type="dxa"/>
                </w:tcPr>
                <w:p>
                  <w:r>
                    <w:rPr/>
                    <w:sym w:font="Wingdings" w:char="00FE"/>
                  </w:r>
                  <w:r>
                    <w:rPr>
                      <w:rFonts w:hint="eastAsia"/>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szCs w:val="24"/>
                    </w:rPr>
                  </w:pPr>
                  <w:r>
                    <w:rPr>
                      <w:rFonts w:hint="eastAsia"/>
                      <w:strike/>
                    </w:rPr>
                    <w:t>不适用的理由（可多选）</w:t>
                  </w:r>
                </w:p>
              </w:tc>
              <w:tc>
                <w:tcPr>
                  <w:tcW w:w="4117" w:type="dxa"/>
                  <w:vAlign w:val="center"/>
                </w:tcPr>
                <w:p>
                  <w:pPr>
                    <w:rPr>
                      <w:strike/>
                    </w:rPr>
                  </w:pPr>
                  <w:r>
                    <w:rPr>
                      <w:rFonts w:hint="eastAsia"/>
                      <w:strike/>
                    </w:rPr>
                    <w:t xml:space="preserve">□受审核组织没有设计开发的责任    </w:t>
                  </w:r>
                </w:p>
                <w:p>
                  <w:pPr>
                    <w:rPr>
                      <w:strike/>
                    </w:rPr>
                  </w:pPr>
                  <w:r>
                    <w:rPr>
                      <w:rFonts w:hint="eastAsia"/>
                      <w:strike/>
                    </w:rPr>
                    <w:t xml:space="preserve">□受审核组织没有设计开发的能力   </w:t>
                  </w:r>
                </w:p>
                <w:p>
                  <w:pPr>
                    <w:rPr>
                      <w:strike/>
                    </w:rPr>
                  </w:pPr>
                  <w:r>
                    <w:rPr>
                      <w:rFonts w:hint="eastAsia"/>
                      <w:strike/>
                    </w:rPr>
                    <w:t>□受审核组织没有设计开发修改的权力</w:t>
                  </w:r>
                </w:p>
                <w:p>
                  <w:pPr>
                    <w:rPr>
                      <w:strike/>
                    </w:rPr>
                  </w:pPr>
                  <w:r>
                    <w:rPr>
                      <w:rFonts w:hint="eastAsia"/>
                      <w:strike/>
                    </w:rPr>
                    <w:t>□受审核组织按照顾客图纸和合同要求提供生产和服务</w:t>
                  </w:r>
                </w:p>
                <w:p>
                  <w:pPr>
                    <w:rPr>
                      <w:strike/>
                    </w:rPr>
                  </w:pPr>
                  <w:r>
                    <w:rPr>
                      <w:rFonts w:hint="eastAsia"/>
                      <w:strike/>
                    </w:rPr>
                    <w:t>□受审核组织按照公司总部的技术要求提供生产和服务</w:t>
                  </w:r>
                </w:p>
                <w:p>
                  <w:pPr>
                    <w:rPr>
                      <w:strike/>
                    </w:rPr>
                  </w:pPr>
                  <w:r>
                    <w:rPr>
                      <w:rFonts w:hint="eastAsia"/>
                      <w:strike/>
                    </w:rPr>
                    <w:t>□受审核组织按照传统工艺提供生产和服务</w:t>
                  </w:r>
                </w:p>
                <w:p>
                  <w:pPr>
                    <w:rPr>
                      <w:strike/>
                    </w:rPr>
                  </w:pPr>
                  <w:r>
                    <w:rPr>
                      <w:rFonts w:hint="eastAsia"/>
                      <w:strike/>
                    </w:rPr>
                    <w:t>□其他：</w:t>
                  </w:r>
                </w:p>
              </w:tc>
              <w:tc>
                <w:tcPr>
                  <w:tcW w:w="3015" w:type="dxa"/>
                </w:tcPr>
                <w:p/>
              </w:tc>
            </w:tr>
          </w:tbl>
          <w:p/>
          <w:p>
            <w:pPr>
              <w:rPr>
                <w:color w:val="000000"/>
                <w:szCs w:val="21"/>
              </w:rPr>
            </w:pPr>
            <w:r>
              <w:rPr>
                <w:rFonts w:hint="eastAsia"/>
                <w:color w:val="000000"/>
                <w:szCs w:val="21"/>
              </w:rPr>
              <w:t>在企业的管理手册中有描述。</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质量管理体系及其过程</w:t>
            </w:r>
          </w:p>
        </w:tc>
        <w:tc>
          <w:tcPr>
            <w:tcW w:w="936" w:type="dxa"/>
            <w:vMerge w:val="restart"/>
          </w:tcPr>
          <w:p>
            <w:r>
              <w:rPr>
                <w:rFonts w:hint="eastAsia"/>
              </w:rPr>
              <w:t xml:space="preserve">Q4.4 </w:t>
            </w:r>
          </w:p>
        </w:tc>
        <w:tc>
          <w:tcPr>
            <w:tcW w:w="745" w:type="dxa"/>
            <w:gridSpan w:val="2"/>
          </w:tcPr>
          <w:p>
            <w:r>
              <w:rPr>
                <w:rFonts w:hint="eastAsia"/>
              </w:rPr>
              <w:t>文件名称</w:t>
            </w:r>
          </w:p>
        </w:tc>
        <w:tc>
          <w:tcPr>
            <w:tcW w:w="9272" w:type="dxa"/>
            <w:gridSpan w:val="3"/>
          </w:tcPr>
          <w:p>
            <w:r>
              <w:rPr>
                <w:rFonts w:hint="eastAsia"/>
              </w:rPr>
              <w:t>如：</w:t>
            </w:r>
            <w:r>
              <w:rPr/>
              <w:sym w:font="Wingdings" w:char="00FE"/>
            </w:r>
            <w:r>
              <w:rPr>
                <w:rFonts w:hint="eastAsia"/>
              </w:rPr>
              <w:t xml:space="preserve">管理手册第4.4章 </w:t>
            </w:r>
            <w:r>
              <w:t xml:space="preserve"> </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市场拓展 ☑设备能力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人员能力 ☑检测水平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合同评审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知识保密 </w:t>
            </w:r>
          </w:p>
          <w:p>
            <w:pPr>
              <w:spacing w:before="40" w:after="40"/>
            </w:pPr>
            <w:r>
              <w:rPr>
                <w:rFonts w:hint="eastAsia"/>
              </w:rPr>
              <w:t xml:space="preserve">□新产品设计开发 □原材料采购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外部供方控制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pPr>
            <w:r>
              <w:rPr>
                <w:rFonts w:hint="eastAsia"/>
              </w:rPr>
              <w:t xml:space="preserve">□人员培训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其他——无</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领导作用与承诺</w:t>
            </w:r>
          </w:p>
        </w:tc>
        <w:tc>
          <w:tcPr>
            <w:tcW w:w="936" w:type="dxa"/>
            <w:vMerge w:val="restart"/>
          </w:tcPr>
          <w:p>
            <w:r>
              <w:rPr>
                <w:rFonts w:hint="eastAsia"/>
              </w:rPr>
              <w:t>Q5.1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管理手册第5.1章和“</w:t>
            </w:r>
            <w:r>
              <w:rPr>
                <w:rFonts w:hint="eastAsia"/>
                <w:szCs w:val="21"/>
              </w:rPr>
              <w:t>总经理任职说明书</w:t>
            </w:r>
            <w:r>
              <w:rPr>
                <w:rFonts w:hint="eastAsia"/>
              </w:rPr>
              <w:t>”</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对质量管理体系的有效性承担责任；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促进使用过程方法和基于风险的思维；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确保质量管理体系所需的资源是可用的； </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确保质量管理体系实现其预期结果；</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推动改进；</w:t>
            </w: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以顾客为关注焦点</w:t>
            </w:r>
          </w:p>
          <w:p/>
        </w:tc>
        <w:tc>
          <w:tcPr>
            <w:tcW w:w="936" w:type="dxa"/>
            <w:vMerge w:val="restart"/>
          </w:tcPr>
          <w:p>
            <w:r>
              <w:rPr>
                <w:rFonts w:hint="eastAsia"/>
              </w:rPr>
              <w:t>Q5.1.2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管理手册第5.1章</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以身作则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建立机制 □法规宣传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风险机遇的应对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重视顾客反馈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目标考核 □其他</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方针</w:t>
            </w:r>
          </w:p>
        </w:tc>
        <w:tc>
          <w:tcPr>
            <w:tcW w:w="936" w:type="dxa"/>
            <w:vMerge w:val="restart"/>
          </w:tcPr>
          <w:p>
            <w:r>
              <w:rPr>
                <w:rFonts w:hint="eastAsia"/>
              </w:rPr>
              <w:t>Q5.2  </w:t>
            </w:r>
          </w:p>
        </w:tc>
        <w:tc>
          <w:tcPr>
            <w:tcW w:w="745" w:type="dxa"/>
            <w:gridSpan w:val="2"/>
          </w:tcPr>
          <w:p>
            <w:r>
              <w:rPr>
                <w:rFonts w:hint="eastAsia"/>
              </w:rPr>
              <w:t>文件名称</w:t>
            </w:r>
          </w:p>
        </w:tc>
        <w:tc>
          <w:tcPr>
            <w:tcW w:w="9272" w:type="dxa"/>
            <w:gridSpan w:val="3"/>
          </w:tcPr>
          <w:p>
            <w:r>
              <w:rPr>
                <w:rFonts w:hint="eastAsia"/>
              </w:rPr>
              <w:t>如：</w:t>
            </w:r>
            <w:r>
              <w:rPr/>
              <w:sym w:font="Wingdings" w:char="00FE"/>
            </w:r>
            <w:r>
              <w:rPr>
                <w:rFonts w:hint="eastAsia"/>
              </w:rPr>
              <w:t>管理手册第5.2章</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rPr>
                <w:u w:val="single"/>
              </w:rPr>
            </w:pPr>
            <w:r>
              <w:rPr>
                <w:rFonts w:hint="eastAsia"/>
                <w:color w:val="000000"/>
                <w:szCs w:val="21"/>
              </w:rPr>
              <w:t xml:space="preserve"> </w:t>
            </w:r>
            <w:r>
              <w:rPr>
                <w:rFonts w:hint="eastAsia"/>
              </w:rPr>
              <w:t>最高管理者制定了文件化的管理体系方针：</w:t>
            </w:r>
          </w:p>
          <w:p>
            <w:pPr>
              <w:rPr>
                <w:b/>
                <w:bCs/>
                <w:u w:val="single"/>
              </w:rPr>
            </w:pPr>
            <w:r>
              <w:rPr>
                <w:rFonts w:hint="eastAsia"/>
                <w:u w:val="single"/>
              </w:rPr>
              <w:t xml:space="preserve"> </w:t>
            </w:r>
            <w:r>
              <w:rPr>
                <w:rFonts w:hint="eastAsia"/>
                <w:b/>
                <w:bCs/>
                <w:u w:val="single"/>
              </w:rPr>
              <w:t xml:space="preserve"> </w:t>
            </w:r>
            <w:r>
              <w:rPr>
                <w:rFonts w:ascii="华文中宋" w:hAnsi="华文中宋" w:eastAsia="华文中宋"/>
                <w:b/>
                <w:bCs/>
                <w:u w:val="single"/>
              </w:rPr>
              <w:t>顾客第一、质量第一，遵章守法，关爱环境，安全第一，持续改进</w:t>
            </w:r>
            <w:r>
              <w:rPr>
                <w:rFonts w:hint="eastAsia"/>
                <w:b/>
                <w:bCs/>
                <w:u w:val="single"/>
              </w:rPr>
              <w:t xml:space="preserve">   </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适应组织的宗旨和环境并支持其战略方向</w:t>
            </w:r>
          </w:p>
          <w:p>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lang w:val="en-GB"/>
              </w:rPr>
              <w:t>质量方针合理恰当并为相应的质量目标提供了框架。</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包括满足适用要求的承诺； </w:t>
            </w:r>
          </w:p>
          <w:p>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包括持续改进质量管理体系的承诺</w:t>
            </w:r>
          </w:p>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会议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在相关方有需要时提供。通过：</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网站 </w:t>
            </w:r>
            <w:r>
              <w:rPr>
                <w:rFonts w:hint="eastAsia"/>
              </w:rPr>
              <w:sym w:font="Wingdings" w:char="00A8"/>
            </w:r>
            <w:r>
              <w:rPr>
                <w:rFonts w:hint="eastAsia"/>
              </w:rPr>
              <w:t xml:space="preserve">宣传册 </w:t>
            </w:r>
            <w:r>
              <w:rPr>
                <w:rFonts w:hint="eastAsia"/>
              </w:rPr>
              <w:sym w:font="Wingdings" w:char="00FE"/>
            </w:r>
            <w:r>
              <w:rPr>
                <w:rFonts w:hint="eastAsia"/>
              </w:rPr>
              <w:t>其他：投标文件</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r>
              <w:rPr>
                <w:rFonts w:hint="eastAsia"/>
              </w:rPr>
              <w:t>组织的岗位、职责和权限</w:t>
            </w:r>
          </w:p>
          <w:p/>
        </w:tc>
        <w:tc>
          <w:tcPr>
            <w:tcW w:w="936" w:type="dxa"/>
            <w:vMerge w:val="restart"/>
          </w:tcPr>
          <w:p>
            <w:r>
              <w:rPr>
                <w:rFonts w:hint="eastAsia"/>
              </w:rPr>
              <w:t>Q5.3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管理手册第5.3章</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184" w:type="dxa"/>
            <w:gridSpan w:val="3"/>
            <w:vMerge w:val="continue"/>
          </w:tcPr>
          <w:p/>
        </w:tc>
        <w:tc>
          <w:tcPr>
            <w:tcW w:w="936" w:type="dxa"/>
            <w:vMerge w:val="continue"/>
          </w:tcPr>
          <w:p/>
        </w:tc>
        <w:tc>
          <w:tcPr>
            <w:tcW w:w="745" w:type="dxa"/>
            <w:gridSpan w:val="2"/>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运行证据</w:t>
            </w:r>
          </w:p>
        </w:tc>
        <w:tc>
          <w:tcPr>
            <w:tcW w:w="9272" w:type="dxa"/>
            <w:gridSpan w:val="3"/>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最高管理者确定了组织架构及相关岗位的职责、权限，并进行了全员的沟通和理解；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过程名称</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主管部门名称</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过程名称</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检测过程</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总工办</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顾客满意度调查</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研发过程</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总工办</w:t>
                  </w:r>
                </w:p>
              </w:tc>
              <w:tc>
                <w:tcPr>
                  <w:tcW w:w="2261" w:type="dxa"/>
                </w:tcPr>
                <w:p>
                  <w:pPr>
                    <w:rPr>
                      <w:color w:val="000000" w:themeColor="text1"/>
                      <w14:textFill>
                        <w14:solidFill>
                          <w14:schemeClr w14:val="tx1"/>
                        </w14:solidFill>
                      </w14:textFill>
                    </w:rPr>
                  </w:pPr>
                </w:p>
              </w:tc>
              <w:tc>
                <w:tcPr>
                  <w:tcW w:w="2261"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外部供方控制</w:t>
                  </w:r>
                </w:p>
              </w:tc>
              <w:tc>
                <w:tcPr>
                  <w:tcW w:w="22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行政人事部</w:t>
                  </w:r>
                </w:p>
              </w:tc>
              <w:tc>
                <w:tcPr>
                  <w:tcW w:w="2261" w:type="dxa"/>
                </w:tcPr>
                <w:p>
                  <w:pPr>
                    <w:rPr>
                      <w:color w:val="000000" w:themeColor="text1"/>
                      <w14:textFill>
                        <w14:solidFill>
                          <w14:schemeClr w14:val="tx1"/>
                        </w14:solidFill>
                      </w14:textFill>
                    </w:rPr>
                  </w:pPr>
                </w:p>
              </w:tc>
              <w:tc>
                <w:tcPr>
                  <w:tcW w:w="2261" w:type="dxa"/>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pPr>
              <w:rPr>
                <w:color w:val="000000"/>
                <w:szCs w:val="21"/>
              </w:rPr>
            </w:pPr>
            <w:r>
              <w:rPr>
                <w:rFonts w:hint="eastAsia"/>
                <w:color w:val="000000"/>
                <w:szCs w:val="21"/>
              </w:rPr>
              <w:t>应对风险和机遇的措施</w:t>
            </w:r>
          </w:p>
          <w:p/>
        </w:tc>
        <w:tc>
          <w:tcPr>
            <w:tcW w:w="936" w:type="dxa"/>
            <w:vMerge w:val="restart"/>
          </w:tcPr>
          <w:p>
            <w:r>
              <w:rPr>
                <w:rFonts w:hint="eastAsia"/>
                <w:color w:val="000000"/>
                <w:szCs w:val="21"/>
              </w:rPr>
              <w:t>Q6.1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《风险和机遇控制程序》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手册第6.1条款</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r>
              <w:rPr>
                <w:rFonts w:hint="eastAsia"/>
              </w:rPr>
              <w:t>分析风险的方法：</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规避风险 </w:t>
            </w:r>
            <w:r>
              <w:rPr>
                <w:rFonts w:hint="eastAsia"/>
              </w:rPr>
              <w:sym w:font="Wingdings" w:char="00A8"/>
            </w:r>
            <w:r>
              <w:rPr>
                <w:rFonts w:hint="eastAsia"/>
              </w:rPr>
              <w:t>为寻求机遇承担风险、</w:t>
            </w:r>
            <w:r>
              <w:rPr>
                <w:rFonts w:hint="eastAsia"/>
              </w:rPr>
              <w:sym w:font="Wingdings" w:char="00A8"/>
            </w:r>
            <w:r>
              <w:rPr>
                <w:rFonts w:hint="eastAsia"/>
              </w:rPr>
              <w:t xml:space="preserve">消除风险源 </w:t>
            </w:r>
            <w:r>
              <w:rPr>
                <w:rFonts w:hint="eastAsia"/>
              </w:rPr>
              <w:sym w:font="Wingdings" w:char="00A8"/>
            </w:r>
            <w:r>
              <w:rPr>
                <w:rFonts w:hint="eastAsia"/>
              </w:rPr>
              <w:t>改变风险的可能性和后果、</w:t>
            </w:r>
            <w:r>
              <w:rPr>
                <w:rFonts w:hint="eastAsia"/>
              </w:rPr>
              <w:sym w:font="Wingdings" w:char="00A8"/>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分担风险 </w:t>
            </w:r>
            <w:r>
              <w:rPr>
                <w:rFonts w:hint="eastAsia"/>
              </w:rPr>
              <w:sym w:font="Wingdings" w:char="00A8"/>
            </w:r>
            <w:r>
              <w:rPr>
                <w:rFonts w:hint="eastAsia"/>
              </w:rPr>
              <w:t xml:space="preserve">通过信息充分的决策而保留风险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其他风险接受；.风险降低</w:t>
            </w:r>
          </w:p>
          <w:p>
            <w:r>
              <w:rPr>
                <w:rFonts w:hint="eastAsia"/>
              </w:rPr>
              <w:t xml:space="preserve">列举2~3项应对主要风险的描述：         </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1"/>
              <w:gridCol w:w="345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tcPr>
                <w:p>
                  <w:r>
                    <w:rPr>
                      <w:rFonts w:hint="eastAsia"/>
                    </w:rPr>
                    <w:t>主要的风险描述</w:t>
                  </w:r>
                </w:p>
              </w:tc>
              <w:tc>
                <w:tcPr>
                  <w:tcW w:w="3454"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tcPr>
                <w:p>
                  <w:r>
                    <w:rPr>
                      <w:rFonts w:hint="eastAsia"/>
                      <w:szCs w:val="21"/>
                    </w:rPr>
                    <w:t>监视和测量资源配置数量不够、精度不够、未及时检定和校准，导致结果失效</w:t>
                  </w:r>
                </w:p>
              </w:tc>
              <w:tc>
                <w:tcPr>
                  <w:tcW w:w="3454" w:type="dxa"/>
                </w:tcPr>
                <w:p>
                  <w:r>
                    <w:rPr>
                      <w:rFonts w:hint="eastAsia"/>
                      <w:szCs w:val="21"/>
                    </w:rPr>
                    <w:t>建立监视和测量资源设备台账，按要求进行周期检定的校准</w:t>
                  </w:r>
                </w:p>
              </w:tc>
              <w:tc>
                <w:tcPr>
                  <w:tcW w:w="1717" w:type="dxa"/>
                </w:tcPr>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有效 </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tcPr>
                <w:p>
                  <w:pPr>
                    <w:rPr>
                      <w:szCs w:val="24"/>
                    </w:rPr>
                  </w:pPr>
                </w:p>
              </w:tc>
              <w:tc>
                <w:tcPr>
                  <w:tcW w:w="3454"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1" w:type="dxa"/>
                </w:tcPr>
                <w:p>
                  <w:pPr>
                    <w:rPr>
                      <w:szCs w:val="24"/>
                      <w:highlight w:val="yellow"/>
                    </w:rPr>
                  </w:pPr>
                </w:p>
              </w:tc>
              <w:tc>
                <w:tcPr>
                  <w:tcW w:w="3454" w:type="dxa"/>
                </w:tcPr>
                <w:p>
                  <w:pPr>
                    <w:rPr>
                      <w:highlight w:val="yellow"/>
                    </w:rPr>
                  </w:pPr>
                </w:p>
              </w:tc>
              <w:tc>
                <w:tcPr>
                  <w:tcW w:w="1717" w:type="dxa"/>
                </w:tcPr>
                <w:p>
                  <w:pPr>
                    <w:rPr>
                      <w:highlight w:val="yellow"/>
                    </w:rPr>
                  </w:pPr>
                </w:p>
              </w:tc>
            </w:tr>
          </w:tbl>
          <w:p/>
          <w:p>
            <w:r>
              <w:rPr>
                <w:rFonts w:hint="eastAsia"/>
              </w:rPr>
              <w:t xml:space="preserve">应对机遇的措施类型包括： </w:t>
            </w:r>
          </w:p>
          <w:p>
            <w:r>
              <w:rPr>
                <w:rFonts w:hint="eastAsia"/>
              </w:rPr>
              <w:sym w:font="Wingdings" w:char="00A8"/>
            </w:r>
            <w:r>
              <w:rPr>
                <w:rFonts w:hint="eastAsia"/>
              </w:rPr>
              <w:t xml:space="preserve">采用新实践 </w:t>
            </w:r>
            <w:r>
              <w:rPr>
                <w:rFonts w:hint="eastAsia"/>
              </w:rPr>
              <w:sym w:font="Wingdings" w:char="00A8"/>
            </w:r>
            <w:r>
              <w:rPr>
                <w:rFonts w:hint="eastAsia"/>
              </w:rPr>
              <w:t xml:space="preserve">推出新产品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开辟新市场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赢得新顾客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建立合作伙伴关系  </w:t>
            </w:r>
            <w:r>
              <w:rPr>
                <w:rFonts w:hint="eastAsia"/>
              </w:rPr>
              <w:sym w:font="Wingdings" w:char="00A8"/>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主要的机遇描述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r>
                    <w:rPr>
                      <w:rFonts w:hint="eastAsia"/>
                      <w:szCs w:val="24"/>
                    </w:rPr>
                    <w:t>团队技术能力较强，具备赢得新市场或新客户的能力</w:t>
                  </w:r>
                </w:p>
              </w:tc>
              <w:tc>
                <w:tcPr>
                  <w:tcW w:w="4258" w:type="dxa"/>
                </w:tcPr>
                <w:p>
                  <w:r>
                    <w:rPr>
                      <w:rFonts w:hint="eastAsia"/>
                    </w:rPr>
                    <w:t>建立体系，提升企业总体管理能力，组织人员参加培训，提升专业能力。</w:t>
                  </w:r>
                </w:p>
              </w:tc>
              <w:tc>
                <w:tcPr>
                  <w:tcW w:w="1717" w:type="dxa"/>
                </w:tcPr>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 xml:space="preserve">有效 </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tc>
              <w:tc>
                <w:tcPr>
                  <w:tcW w:w="1717" w:type="dxa"/>
                </w:tcPr>
                <w:p/>
              </w:tc>
            </w:tr>
          </w:tbl>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pPr>
              <w:rPr>
                <w:color w:val="000000"/>
                <w:szCs w:val="21"/>
              </w:rPr>
            </w:pPr>
            <w:r>
              <w:rPr>
                <w:rFonts w:hint="eastAsia"/>
                <w:color w:val="000000"/>
                <w:szCs w:val="21"/>
              </w:rPr>
              <w:t>质量目标及其实现的策划</w:t>
            </w:r>
          </w:p>
          <w:p/>
        </w:tc>
        <w:tc>
          <w:tcPr>
            <w:tcW w:w="936" w:type="dxa"/>
            <w:vMerge w:val="restart"/>
          </w:tcPr>
          <w:p>
            <w:r>
              <w:rPr>
                <w:rFonts w:hint="eastAsia"/>
                <w:color w:val="000000"/>
                <w:szCs w:val="21"/>
              </w:rPr>
              <w:t>Q6.2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手册第6.2条款、</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《质量目标达成统计表》</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711"/>
              <w:gridCol w:w="124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shd w:val="clear" w:color="auto" w:fill="auto"/>
                </w:tcPr>
                <w:p>
                  <w:pPr>
                    <w:rPr>
                      <w:rFonts w:ascii="宋体" w:hAnsi="宋体"/>
                      <w:szCs w:val="24"/>
                    </w:rPr>
                  </w:pPr>
                  <w:r>
                    <w:rPr>
                      <w:rFonts w:hint="eastAsia" w:ascii="宋体" w:hAnsi="宋体"/>
                      <w:szCs w:val="24"/>
                    </w:rPr>
                    <w:t>质量目标</w:t>
                  </w:r>
                </w:p>
              </w:tc>
              <w:tc>
                <w:tcPr>
                  <w:tcW w:w="2711" w:type="dxa"/>
                  <w:shd w:val="clear" w:color="auto" w:fill="auto"/>
                </w:tcPr>
                <w:p>
                  <w:pPr>
                    <w:rPr>
                      <w:rFonts w:ascii="宋体" w:hAnsi="宋体"/>
                      <w:szCs w:val="24"/>
                    </w:rPr>
                  </w:pPr>
                  <w:r>
                    <w:rPr>
                      <w:rFonts w:hint="eastAsia" w:ascii="宋体" w:hAnsi="宋体"/>
                      <w:szCs w:val="24"/>
                    </w:rPr>
                    <w:t>计算方法</w:t>
                  </w:r>
                </w:p>
              </w:tc>
              <w:tc>
                <w:tcPr>
                  <w:tcW w:w="1242" w:type="dxa"/>
                  <w:shd w:val="clear" w:color="auto" w:fill="auto"/>
                </w:tcPr>
                <w:p>
                  <w:pPr>
                    <w:rPr>
                      <w:rFonts w:ascii="宋体" w:hAnsi="宋体"/>
                      <w:szCs w:val="24"/>
                    </w:rPr>
                  </w:pPr>
                  <w:r>
                    <w:rPr>
                      <w:rFonts w:hint="eastAsia" w:ascii="宋体" w:hAnsi="宋体"/>
                      <w:szCs w:val="24"/>
                    </w:rPr>
                    <w:t>责任部门</w:t>
                  </w:r>
                </w:p>
              </w:tc>
              <w:tc>
                <w:tcPr>
                  <w:tcW w:w="2224" w:type="dxa"/>
                  <w:shd w:val="clear" w:color="auto" w:fill="auto"/>
                </w:tcPr>
                <w:p>
                  <w:pPr>
                    <w:rPr>
                      <w:rFonts w:ascii="宋体" w:hAnsi="宋体"/>
                      <w:szCs w:val="24"/>
                    </w:rPr>
                  </w:pPr>
                  <w:r>
                    <w:rPr>
                      <w:rFonts w:hint="eastAsia" w:ascii="宋体" w:hAnsi="宋体"/>
                      <w:szCs w:val="24"/>
                    </w:rPr>
                    <w:t>目标实际完成（2</w:t>
                  </w:r>
                  <w:r>
                    <w:rPr>
                      <w:rFonts w:ascii="宋体" w:hAnsi="宋体"/>
                      <w:szCs w:val="24"/>
                    </w:rPr>
                    <w:t>021</w:t>
                  </w:r>
                  <w:r>
                    <w:rPr>
                      <w:rFonts w:hint="eastAsia" w:ascii="宋体" w:hAnsi="宋体"/>
                      <w:szCs w:val="24"/>
                    </w:rPr>
                    <w:t>年7月-</w:t>
                  </w:r>
                  <w:r>
                    <w:rPr>
                      <w:rFonts w:ascii="宋体" w:hAnsi="宋体"/>
                      <w:szCs w:val="24"/>
                    </w:rPr>
                    <w:t>2022</w:t>
                  </w:r>
                  <w:r>
                    <w:rPr>
                      <w:rFonts w:hint="eastAsia" w:ascii="宋体" w:hAnsi="宋体"/>
                      <w:szCs w:val="24"/>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shd w:val="clear" w:color="auto" w:fill="auto"/>
                </w:tcPr>
                <w:p>
                  <w:pPr>
                    <w:rPr>
                      <w:rFonts w:ascii="宋体" w:hAnsi="宋体"/>
                      <w:szCs w:val="24"/>
                    </w:rPr>
                  </w:pPr>
                  <w:r>
                    <w:rPr>
                      <w:rFonts w:hint="eastAsia" w:ascii="宋体" w:hAnsi="宋体"/>
                      <w:szCs w:val="24"/>
                    </w:rPr>
                    <w:t>顾客服务满意度</w:t>
                  </w:r>
                  <w:r>
                    <w:rPr>
                      <w:rFonts w:ascii="宋体" w:hAnsi="宋体"/>
                      <w:szCs w:val="24"/>
                    </w:rPr>
                    <w:t>90 分以上</w:t>
                  </w:r>
                </w:p>
              </w:tc>
              <w:tc>
                <w:tcPr>
                  <w:tcW w:w="2711" w:type="dxa"/>
                </w:tcPr>
                <w:p>
                  <w:pPr>
                    <w:jc w:val="left"/>
                    <w:rPr>
                      <w:rFonts w:hint="eastAsia" w:ascii="宋体" w:hAnsi="宋体" w:eastAsia="宋体"/>
                      <w:szCs w:val="24"/>
                      <w:lang w:val="en-US" w:eastAsia="zh-CN"/>
                    </w:rPr>
                  </w:pPr>
                  <w:r>
                    <w:rPr>
                      <w:rFonts w:hint="eastAsia" w:ascii="宋体" w:hAnsi="宋体"/>
                      <w:szCs w:val="24"/>
                    </w:rPr>
                    <w:t>满意数量</w:t>
                  </w:r>
                  <w:r>
                    <w:rPr>
                      <w:rFonts w:ascii="宋体" w:hAnsi="宋体"/>
                      <w:szCs w:val="24"/>
                    </w:rPr>
                    <w:t>/调研数量×100</w:t>
                  </w:r>
                  <w:r>
                    <w:rPr>
                      <w:rFonts w:hint="eastAsia" w:ascii="宋体" w:hAnsi="宋体"/>
                      <w:szCs w:val="24"/>
                      <w:lang w:val="en-US" w:eastAsia="zh-CN"/>
                    </w:rPr>
                    <w:t>%</w:t>
                  </w:r>
                </w:p>
              </w:tc>
              <w:tc>
                <w:tcPr>
                  <w:tcW w:w="1242" w:type="dxa"/>
                  <w:shd w:val="clear" w:color="auto" w:fill="auto"/>
                  <w:vAlign w:val="center"/>
                </w:tcPr>
                <w:p>
                  <w:pPr>
                    <w:rPr>
                      <w:rFonts w:ascii="宋体" w:hAnsi="宋体"/>
                      <w:szCs w:val="24"/>
                    </w:rPr>
                  </w:pPr>
                  <w:r>
                    <w:rPr>
                      <w:rFonts w:hint="eastAsia" w:ascii="宋体" w:hAnsi="宋体"/>
                      <w:szCs w:val="24"/>
                    </w:rPr>
                    <w:t>业务部</w:t>
                  </w:r>
                </w:p>
              </w:tc>
              <w:tc>
                <w:tcPr>
                  <w:tcW w:w="2224" w:type="dxa"/>
                  <w:shd w:val="clear" w:color="auto" w:fill="auto"/>
                  <w:vAlign w:val="center"/>
                </w:tcPr>
                <w:p>
                  <w:pPr>
                    <w:jc w:val="center"/>
                    <w:rPr>
                      <w:rFonts w:ascii="宋体" w:hAnsi="宋体"/>
                      <w:szCs w:val="24"/>
                    </w:rPr>
                  </w:pPr>
                  <w:r>
                    <w:rPr>
                      <w:rFonts w:hint="eastAsia" w:ascii="宋体" w:hAnsi="宋体"/>
                      <w:szCs w:val="24"/>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tcPr>
                <w:p>
                  <w:pPr>
                    <w:rPr>
                      <w:rFonts w:ascii="宋体" w:hAnsi="宋体"/>
                      <w:szCs w:val="24"/>
                    </w:rPr>
                  </w:pPr>
                  <w:r>
                    <w:rPr>
                      <w:rFonts w:ascii="宋体" w:hAnsi="宋体"/>
                      <w:szCs w:val="24"/>
                    </w:rPr>
                    <w:t>检测合格率</w:t>
                  </w:r>
                </w:p>
              </w:tc>
              <w:tc>
                <w:tcPr>
                  <w:tcW w:w="2711" w:type="dxa"/>
                </w:tcPr>
                <w:p>
                  <w:pPr>
                    <w:pStyle w:val="16"/>
                    <w:spacing w:before="79"/>
                    <w:ind w:left="93" w:right="194"/>
                    <w:jc w:val="center"/>
                    <w:rPr>
                      <w:rFonts w:ascii="宋体" w:hAnsi="宋体" w:eastAsia="宋体" w:cs="Times New Roman"/>
                      <w:kern w:val="2"/>
                      <w:sz w:val="21"/>
                      <w:szCs w:val="24"/>
                      <w:lang w:val="en-US" w:bidi="ar-SA"/>
                    </w:rPr>
                  </w:pPr>
                  <w:r>
                    <w:rPr>
                      <w:rFonts w:ascii="宋体" w:hAnsi="宋体" w:eastAsia="宋体" w:cs="Times New Roman"/>
                      <w:kern w:val="2"/>
                      <w:sz w:val="21"/>
                      <w:szCs w:val="24"/>
                      <w:lang w:val="en-US" w:bidi="ar-SA"/>
                    </w:rPr>
                    <w:t>合格数量/检测报告数量×100%</w:t>
                  </w:r>
                </w:p>
              </w:tc>
              <w:tc>
                <w:tcPr>
                  <w:tcW w:w="1242" w:type="dxa"/>
                  <w:shd w:val="clear" w:color="auto" w:fill="auto"/>
                  <w:vAlign w:val="center"/>
                </w:tcPr>
                <w:p>
                  <w:pPr>
                    <w:rPr>
                      <w:rFonts w:ascii="宋体" w:hAnsi="宋体"/>
                      <w:szCs w:val="24"/>
                    </w:rPr>
                  </w:pPr>
                  <w:r>
                    <w:rPr>
                      <w:rFonts w:hint="eastAsia" w:ascii="宋体" w:hAnsi="宋体"/>
                      <w:szCs w:val="24"/>
                    </w:rPr>
                    <w:t>总工办</w:t>
                  </w:r>
                </w:p>
              </w:tc>
              <w:tc>
                <w:tcPr>
                  <w:tcW w:w="2224" w:type="dxa"/>
                  <w:shd w:val="clear" w:color="auto" w:fill="auto"/>
                  <w:vAlign w:val="center"/>
                </w:tcPr>
                <w:p>
                  <w:pPr>
                    <w:jc w:val="center"/>
                    <w:rPr>
                      <w:rFonts w:ascii="宋体" w:hAnsi="宋体"/>
                      <w:szCs w:val="24"/>
                    </w:rPr>
                  </w:pPr>
                  <w:r>
                    <w:rPr>
                      <w:rFonts w:hint="eastAsia" w:ascii="宋体" w:hAnsi="宋体"/>
                      <w:szCs w:val="24"/>
                    </w:rPr>
                    <w:t>1</w:t>
                  </w:r>
                  <w:r>
                    <w:rPr>
                      <w:rFonts w:ascii="宋体" w:hAnsi="宋体"/>
                      <w:szCs w:val="24"/>
                    </w:rPr>
                    <w:t>00</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tcPr>
                <w:p>
                  <w:pPr>
                    <w:rPr>
                      <w:rFonts w:ascii="宋体" w:hAnsi="宋体"/>
                      <w:szCs w:val="24"/>
                    </w:rPr>
                  </w:pPr>
                  <w:r>
                    <w:rPr>
                      <w:rFonts w:hint="eastAsia" w:ascii="宋体" w:hAnsi="宋体"/>
                      <w:szCs w:val="24"/>
                    </w:rPr>
                    <w:t>检测问题投诉</w:t>
                  </w:r>
                </w:p>
              </w:tc>
              <w:tc>
                <w:tcPr>
                  <w:tcW w:w="2711" w:type="dxa"/>
                </w:tcPr>
                <w:p>
                  <w:pPr>
                    <w:jc w:val="left"/>
                    <w:rPr>
                      <w:rFonts w:ascii="宋体" w:hAnsi="宋体"/>
                      <w:szCs w:val="24"/>
                    </w:rPr>
                  </w:pPr>
                  <w:r>
                    <w:rPr>
                      <w:rFonts w:hint="eastAsia" w:ascii="宋体" w:hAnsi="宋体"/>
                      <w:szCs w:val="24"/>
                    </w:rPr>
                    <w:t>有效投诉的次数</w:t>
                  </w:r>
                </w:p>
              </w:tc>
              <w:tc>
                <w:tcPr>
                  <w:tcW w:w="1242" w:type="dxa"/>
                  <w:shd w:val="clear" w:color="auto" w:fill="auto"/>
                  <w:vAlign w:val="center"/>
                </w:tcPr>
                <w:p>
                  <w:pPr>
                    <w:rPr>
                      <w:rFonts w:ascii="宋体" w:hAnsi="宋体"/>
                      <w:szCs w:val="24"/>
                    </w:rPr>
                  </w:pPr>
                  <w:r>
                    <w:rPr>
                      <w:rFonts w:hint="eastAsia" w:ascii="宋体" w:hAnsi="宋体"/>
                      <w:szCs w:val="24"/>
                    </w:rPr>
                    <w:t>业务部</w:t>
                  </w:r>
                </w:p>
              </w:tc>
              <w:tc>
                <w:tcPr>
                  <w:tcW w:w="2224" w:type="dxa"/>
                  <w:shd w:val="clear" w:color="auto" w:fill="auto"/>
                  <w:vAlign w:val="center"/>
                </w:tcPr>
                <w:p>
                  <w:pPr>
                    <w:jc w:val="center"/>
                    <w:rPr>
                      <w:rFonts w:ascii="宋体" w:hAnsi="宋体"/>
                      <w:szCs w:val="24"/>
                    </w:rPr>
                  </w:pPr>
                  <w:r>
                    <w:rPr>
                      <w:rFonts w:hint="eastAsia" w:ascii="宋体" w:hAnsi="宋体"/>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tcPr>
                <w:p>
                  <w:pPr>
                    <w:rPr>
                      <w:rFonts w:ascii="宋体" w:hAnsi="宋体"/>
                      <w:szCs w:val="24"/>
                    </w:rPr>
                  </w:pPr>
                  <w:r>
                    <w:rPr>
                      <w:rFonts w:hint="eastAsia" w:ascii="宋体" w:hAnsi="宋体"/>
                      <w:szCs w:val="24"/>
                    </w:rPr>
                    <w:t>检测意见反馈及时处理率</w:t>
                  </w:r>
                </w:p>
              </w:tc>
              <w:tc>
                <w:tcPr>
                  <w:tcW w:w="2711" w:type="dxa"/>
                </w:tcPr>
                <w:p>
                  <w:pPr>
                    <w:jc w:val="left"/>
                    <w:rPr>
                      <w:rFonts w:ascii="宋体" w:hAnsi="宋体"/>
                      <w:szCs w:val="24"/>
                    </w:rPr>
                  </w:pPr>
                  <w:r>
                    <w:rPr>
                      <w:rFonts w:hint="eastAsia" w:ascii="宋体" w:hAnsi="宋体"/>
                      <w:szCs w:val="24"/>
                    </w:rPr>
                    <w:t>及时处理数量</w:t>
                  </w:r>
                  <w:r>
                    <w:rPr>
                      <w:rFonts w:ascii="宋体" w:hAnsi="宋体"/>
                      <w:szCs w:val="24"/>
                    </w:rPr>
                    <w:t>/检测意见×100%</w:t>
                  </w:r>
                </w:p>
              </w:tc>
              <w:tc>
                <w:tcPr>
                  <w:tcW w:w="1242" w:type="dxa"/>
                  <w:shd w:val="clear" w:color="auto" w:fill="auto"/>
                  <w:vAlign w:val="center"/>
                </w:tcPr>
                <w:p>
                  <w:pPr>
                    <w:rPr>
                      <w:rFonts w:ascii="宋体" w:hAnsi="宋体"/>
                      <w:szCs w:val="24"/>
                    </w:rPr>
                  </w:pPr>
                  <w:r>
                    <w:rPr>
                      <w:rFonts w:hint="eastAsia" w:ascii="宋体" w:hAnsi="宋体"/>
                      <w:szCs w:val="24"/>
                    </w:rPr>
                    <w:t>总工办</w:t>
                  </w:r>
                </w:p>
              </w:tc>
              <w:tc>
                <w:tcPr>
                  <w:tcW w:w="2224" w:type="dxa"/>
                  <w:shd w:val="clear" w:color="auto" w:fill="auto"/>
                  <w:vAlign w:val="center"/>
                </w:tcPr>
                <w:p>
                  <w:pPr>
                    <w:jc w:val="center"/>
                    <w:rPr>
                      <w:rFonts w:ascii="宋体" w:hAnsi="宋体"/>
                      <w:szCs w:val="24"/>
                    </w:rPr>
                  </w:pPr>
                  <w:r>
                    <w:rPr>
                      <w:rFonts w:hint="eastAsia" w:ascii="宋体" w:hAnsi="宋体"/>
                      <w:szCs w:val="24"/>
                    </w:rPr>
                    <w:t>100%</w:t>
                  </w:r>
                </w:p>
              </w:tc>
            </w:tr>
          </w:tbl>
          <w:p>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84" w:type="dxa"/>
            <w:gridSpan w:val="3"/>
            <w:vMerge w:val="restart"/>
          </w:tcPr>
          <w:p>
            <w:pPr>
              <w:rPr>
                <w:color w:val="000000"/>
                <w:szCs w:val="21"/>
              </w:rPr>
            </w:pPr>
            <w:r>
              <w:rPr>
                <w:rFonts w:hint="eastAsia"/>
                <w:color w:val="000000"/>
                <w:szCs w:val="21"/>
              </w:rPr>
              <w:t>变更的策划</w:t>
            </w:r>
          </w:p>
          <w:p/>
        </w:tc>
        <w:tc>
          <w:tcPr>
            <w:tcW w:w="936" w:type="dxa"/>
            <w:vMerge w:val="restart"/>
          </w:tcPr>
          <w:p>
            <w:r>
              <w:rPr>
                <w:rFonts w:hint="eastAsia"/>
                <w:color w:val="000000"/>
                <w:szCs w:val="21"/>
              </w:rPr>
              <w:t>Q6.3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手册第6.3条款</w:t>
            </w:r>
            <w:r>
              <w:rPr>
                <w:rFonts w:hint="eastAsia"/>
                <w:color w:val="FF0000"/>
              </w:rPr>
              <w:t xml:space="preserve"> </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 xml:space="preserve">关键人员 □生产工艺/服务流程 </w:t>
            </w:r>
          </w:p>
          <w:p>
            <w:pPr>
              <w:spacing w:before="40" w:after="40"/>
              <w:rPr>
                <w:rFonts w:hint="eastAsia" w:eastAsia="宋体"/>
                <w:color w:val="0070C0"/>
                <w:lang w:eastAsia="zh-CN"/>
              </w:rPr>
            </w:pPr>
            <w:r>
              <w:rPr>
                <w:rFonts w:hint="eastAsia"/>
              </w:rPr>
              <w:t xml:space="preserve">□主要设备设施 □主要检测设备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体系变更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变更目的</w:t>
                  </w:r>
                </w:p>
              </w:tc>
              <w:tc>
                <w:tcPr>
                  <w:tcW w:w="3632" w:type="dxa"/>
                </w:tcPr>
                <w:p>
                  <w:pPr>
                    <w:rPr>
                      <w:rFonts w:hint="default" w:eastAsia="宋体"/>
                      <w:lang w:val="en-US" w:eastAsia="zh-CN"/>
                    </w:rPr>
                  </w:pPr>
                  <w:r>
                    <w:rPr>
                      <w:rFonts w:hint="eastAsia"/>
                      <w:lang w:val="en-US" w:eastAsia="zh-CN"/>
                    </w:rPr>
                    <w:t>定期换版、重新评估</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pPr>
                    <w:rPr>
                      <w:rFonts w:hint="default" w:eastAsia="宋体"/>
                      <w:lang w:val="en-US" w:eastAsia="zh-CN"/>
                    </w:rPr>
                  </w:pPr>
                  <w:r>
                    <w:rPr>
                      <w:rFonts w:hint="eastAsia"/>
                      <w:lang w:val="en-US" w:eastAsia="zh-CN"/>
                    </w:rPr>
                    <w:t>基本符合</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资源的可获得性</w:t>
                  </w:r>
                </w:p>
              </w:tc>
              <w:tc>
                <w:tcPr>
                  <w:tcW w:w="3632" w:type="dxa"/>
                </w:tcPr>
                <w:p>
                  <w:pPr>
                    <w:rPr>
                      <w:rFonts w:hint="eastAsia" w:eastAsia="宋体"/>
                      <w:lang w:val="en-US" w:eastAsia="zh-CN"/>
                    </w:rPr>
                  </w:pPr>
                  <w:r>
                    <w:rPr>
                      <w:rFonts w:hint="eastAsia"/>
                      <w:lang w:val="en-US" w:eastAsia="zh-CN"/>
                    </w:rPr>
                    <w:t>符合</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pPr>
                    <w:rPr>
                      <w:rFonts w:hint="default" w:eastAsia="宋体"/>
                      <w:lang w:val="en-US" w:eastAsia="zh-CN"/>
                    </w:rPr>
                  </w:pPr>
                  <w:r>
                    <w:rPr>
                      <w:rFonts w:hint="eastAsia"/>
                      <w:lang w:val="en-US" w:eastAsia="zh-CN"/>
                    </w:rPr>
                    <w:t>变更后更合理</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bl>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184" w:type="dxa"/>
            <w:gridSpan w:val="3"/>
            <w:vMerge w:val="restart"/>
          </w:tcPr>
          <w:p>
            <w:r>
              <w:rPr>
                <w:rFonts w:hint="eastAsia"/>
              </w:rPr>
              <w:t>资源（总则）</w:t>
            </w:r>
          </w:p>
        </w:tc>
        <w:tc>
          <w:tcPr>
            <w:tcW w:w="936" w:type="dxa"/>
            <w:vMerge w:val="restart"/>
          </w:tcPr>
          <w:p>
            <w:r>
              <w:rPr>
                <w:rFonts w:hint="eastAsia"/>
                <w:color w:val="000000"/>
                <w:szCs w:val="21"/>
              </w:rPr>
              <w:t>Q7.1 </w:t>
            </w:r>
          </w:p>
        </w:tc>
        <w:tc>
          <w:tcPr>
            <w:tcW w:w="745" w:type="dxa"/>
            <w:gridSpan w:val="2"/>
          </w:tcPr>
          <w:p>
            <w:r>
              <w:rPr>
                <w:rFonts w:hint="eastAsia"/>
              </w:rPr>
              <w:t>文件名称</w:t>
            </w:r>
          </w:p>
        </w:tc>
        <w:tc>
          <w:tcPr>
            <w:tcW w:w="9272" w:type="dxa"/>
            <w:gridSpan w:val="3"/>
          </w:tcPr>
          <w:p>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手册第7.1条款</w:t>
            </w:r>
          </w:p>
        </w:tc>
        <w:tc>
          <w:tcPr>
            <w:tcW w:w="1577"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jc w:val="left"/>
            </w:pPr>
            <w:r>
              <w:rPr>
                <w:rFonts w:hint="eastAsia"/>
              </w:rPr>
              <w:t>建筑面积：1）营业执照地址人</w:t>
            </w:r>
            <w:r>
              <w:rPr>
                <w:rFonts w:hint="eastAsia"/>
                <w:lang w:val="en-US" w:eastAsia="zh-CN"/>
              </w:rPr>
              <w:t>办公室</w:t>
            </w:r>
            <w:r>
              <w:rPr>
                <w:rFonts w:hint="eastAsia"/>
              </w:rPr>
              <w:t>建筑面积</w:t>
            </w:r>
            <w:r>
              <w:rPr>
                <w:rFonts w:hint="eastAsia"/>
                <w:u w:val="single"/>
              </w:rPr>
              <w:t>30</w:t>
            </w:r>
            <w:r>
              <w:rPr>
                <w:rFonts w:hint="eastAsia"/>
              </w:rPr>
              <w:t>多平方；2）临时场所</w:t>
            </w:r>
            <w:r>
              <w:rPr>
                <w:rFonts w:hint="eastAsia"/>
                <w:lang w:val="en-US" w:eastAsia="zh-CN"/>
              </w:rPr>
              <w:t>办公室</w:t>
            </w:r>
            <w:r>
              <w:rPr>
                <w:rFonts w:hint="eastAsia"/>
              </w:rPr>
              <w:t>建筑面积</w:t>
            </w:r>
            <w:r>
              <w:rPr>
                <w:rFonts w:hint="eastAsia"/>
                <w:u w:val="single"/>
              </w:rPr>
              <w:t>80</w:t>
            </w:r>
            <w:r>
              <w:rPr>
                <w:rFonts w:hint="eastAsia"/>
              </w:rPr>
              <w:t>多平方米；办公室</w:t>
            </w:r>
            <w:r>
              <w:rPr>
                <w:u w:val="single"/>
              </w:rPr>
              <w:t>2</w:t>
            </w:r>
            <w:r>
              <w:rPr>
                <w:rFonts w:hint="eastAsia"/>
              </w:rPr>
              <w:t>个</w:t>
            </w:r>
            <w:r>
              <w:rPr>
                <w:rFonts w:hint="eastAsia"/>
                <w:lang w:eastAsia="zh-CN"/>
              </w:rPr>
              <w:t>；【</w:t>
            </w:r>
            <w:r>
              <w:rPr>
                <w:rFonts w:hint="eastAsia"/>
              </w:rPr>
              <w:t>（营业执照地址（广州市海珠区新港东路2429号首层自编190房）1个</w:t>
            </w:r>
            <w:r>
              <w:rPr>
                <w:rFonts w:hint="eastAsia"/>
                <w:lang w:eastAsia="zh-CN"/>
              </w:rPr>
              <w:t>，</w:t>
            </w:r>
            <w:r>
              <w:rPr>
                <w:rFonts w:hint="eastAsia"/>
              </w:rPr>
              <w:t>主要领导刘总在办公；临时场所办公室1个：地址：广州市南沙区南沙街进港大道581号219房，各部门人员在临时办公，便于与现场检测人员的业务沟通及设备、档案资料使用存档）</w:t>
            </w:r>
            <w:r>
              <w:rPr>
                <w:rFonts w:hint="eastAsia"/>
                <w:lang w:eastAsia="zh-CN"/>
              </w:rPr>
              <w:t>】，</w:t>
            </w:r>
            <w:r>
              <w:rPr>
                <w:rFonts w:hint="eastAsia"/>
              </w:rPr>
              <w:t>面包车1辆；</w:t>
            </w:r>
            <w:r>
              <w:t xml:space="preserve"> </w:t>
            </w:r>
          </w:p>
          <w:p>
            <w:pPr>
              <w:rPr>
                <w:rFonts w:hint="eastAsia"/>
              </w:rPr>
            </w:pPr>
          </w:p>
          <w:p>
            <w:pPr>
              <w:rPr>
                <w:u w:val="single"/>
              </w:rPr>
            </w:pPr>
            <w:r>
              <w:rPr>
                <w:rFonts w:hint="eastAsia"/>
              </w:rPr>
              <w:t>主要生产设备有：</w:t>
            </w:r>
            <w:r>
              <w:rPr>
                <w:rFonts w:hint="eastAsia"/>
                <w:u w:val="single"/>
              </w:rPr>
              <w:t>管道机器人、管道潜望镜、全站仪（列举2~4种）</w:t>
            </w:r>
          </w:p>
          <w:p>
            <w:pPr>
              <w:rPr>
                <w:u w:val="single"/>
              </w:rPr>
            </w:pPr>
            <w:r>
              <w:rPr>
                <w:rFonts w:hint="eastAsia"/>
              </w:rPr>
              <w:t>主要服务设备有：</w:t>
            </w:r>
            <w:r>
              <w:rPr>
                <w:rFonts w:hint="eastAsia"/>
                <w:u w:val="single"/>
              </w:rPr>
              <w:t>电脑、打印机、扫描仪（列举2~4种）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color w:val="000000"/>
                <w:sz w:val="18"/>
                <w:szCs w:val="18"/>
              </w:rPr>
              <w:t>☑</w:t>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color w:val="000000"/>
                <w:sz w:val="18"/>
                <w:szCs w:val="18"/>
                <w:u w:val="single"/>
              </w:rPr>
              <w:t>☑</w:t>
            </w:r>
            <w:r>
              <w:rPr>
                <w:rFonts w:hint="eastAsia"/>
                <w:u w:val="single"/>
              </w:rPr>
              <w:t>不适用</w:t>
            </w:r>
            <w:r>
              <w:rPr>
                <w:u w:val="single"/>
              </w:rPr>
              <w:t xml:space="preserve">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84" w:type="dxa"/>
            <w:gridSpan w:val="3"/>
            <w:vMerge w:val="restart"/>
            <w:shd w:val="clear" w:color="auto" w:fill="auto"/>
          </w:tcPr>
          <w:p>
            <w:r>
              <w:rPr>
                <w:rFonts w:hint="eastAsia"/>
              </w:rPr>
              <w:t xml:space="preserve">沟通  </w:t>
            </w:r>
          </w:p>
        </w:tc>
        <w:tc>
          <w:tcPr>
            <w:tcW w:w="936" w:type="dxa"/>
            <w:vMerge w:val="restart"/>
            <w:shd w:val="clear" w:color="auto" w:fill="auto"/>
          </w:tcPr>
          <w:p>
            <w:r>
              <w:rPr>
                <w:rFonts w:hint="eastAsia"/>
              </w:rPr>
              <w:t>Q7.4</w:t>
            </w:r>
          </w:p>
          <w:p>
            <w:pPr>
              <w:pStyle w:val="6"/>
            </w:pPr>
          </w:p>
        </w:tc>
        <w:tc>
          <w:tcPr>
            <w:tcW w:w="745" w:type="dxa"/>
            <w:gridSpan w:val="2"/>
            <w:shd w:val="clear" w:color="auto" w:fill="auto"/>
          </w:tcPr>
          <w:p>
            <w:r>
              <w:rPr>
                <w:rFonts w:hint="eastAsia"/>
              </w:rPr>
              <w:t>文件名称</w:t>
            </w:r>
          </w:p>
        </w:tc>
        <w:tc>
          <w:tcPr>
            <w:tcW w:w="9264" w:type="dxa"/>
            <w:gridSpan w:val="2"/>
            <w:shd w:val="clear" w:color="auto" w:fill="auto"/>
          </w:tcPr>
          <w:p>
            <w:r>
              <w:rPr>
                <w:rFonts w:hint="eastAsia"/>
              </w:rPr>
              <w:t>如：</w:t>
            </w:r>
            <w:r>
              <w:rPr>
                <w:rFonts w:hint="eastAsia"/>
                <w:color w:val="000000"/>
                <w:szCs w:val="21"/>
              </w:rPr>
              <w:t>☑管理手册</w:t>
            </w:r>
            <w:r>
              <w:rPr>
                <w:rFonts w:hint="eastAsia"/>
              </w:rPr>
              <w:t>第7.4</w:t>
            </w:r>
          </w:p>
        </w:tc>
        <w:tc>
          <w:tcPr>
            <w:tcW w:w="1585"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84" w:type="dxa"/>
            <w:gridSpan w:val="3"/>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64" w:type="dxa"/>
            <w:gridSpan w:val="2"/>
            <w:shd w:val="clear" w:color="auto" w:fill="auto"/>
          </w:tcPr>
          <w:p>
            <w:r>
              <w:rPr>
                <w:rFonts w:hint="eastAsia"/>
              </w:rPr>
              <w:t>组织考虑了合规义务，确保质量信息与质量管理体系形成的信息一致且真实可信。一般由行政人事部负责。</w:t>
            </w:r>
          </w:p>
          <w:p>
            <w:r>
              <w:rPr>
                <w:rFonts w:hint="eastAsia"/>
              </w:rPr>
              <w:t>外部沟通的控制对象：</w:t>
            </w:r>
            <w:r>
              <w:rPr>
                <w:rFonts w:hint="eastAsia"/>
                <w:color w:val="000000"/>
                <w:szCs w:val="21"/>
              </w:rPr>
              <w:t xml:space="preserve">☑市场监督管理局 </w:t>
            </w:r>
            <w:r>
              <w:rPr>
                <w:rFonts w:hint="eastAsia"/>
                <w:color w:val="000000"/>
                <w:szCs w:val="21"/>
              </w:rPr>
              <w:sym w:font="Wingdings" w:char="00FE"/>
            </w:r>
            <w:r>
              <w:rPr>
                <w:rFonts w:hint="eastAsia"/>
                <w:color w:val="000000"/>
                <w:szCs w:val="21"/>
              </w:rPr>
              <w:t xml:space="preserve">生态环境局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r>
              <w:rPr>
                <w:rFonts w:hint="eastAsia"/>
              </w:rPr>
              <w:t>内部沟通的控制方式：</w:t>
            </w:r>
            <w:r>
              <w:rPr>
                <w:rFonts w:hint="eastAsia"/>
                <w:color w:val="000000"/>
                <w:szCs w:val="21"/>
              </w:rPr>
              <w:t xml:space="preserve">☑会议 ☑表单传递 ☑微信 ☑QQ  </w:t>
            </w:r>
            <w:r>
              <w:rPr>
                <w:rFonts w:hint="eastAsia"/>
                <w:color w:val="000000"/>
                <w:szCs w:val="21"/>
              </w:rPr>
              <w:sym w:font="Wingdings 2" w:char="00A3"/>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4" w:type="dxa"/>
            <w:gridSpan w:val="3"/>
            <w:vMerge w:val="restart"/>
          </w:tcPr>
          <w:p>
            <w:r>
              <w:rPr>
                <w:rFonts w:hint="eastAsia"/>
              </w:rPr>
              <w:t>监视、测量、分析和评价</w:t>
            </w:r>
          </w:p>
          <w:p/>
        </w:tc>
        <w:tc>
          <w:tcPr>
            <w:tcW w:w="936" w:type="dxa"/>
            <w:vMerge w:val="restart"/>
          </w:tcPr>
          <w:p>
            <w:r>
              <w:rPr>
                <w:rFonts w:hint="eastAsia"/>
              </w:rPr>
              <w:t>Q9.1.1</w:t>
            </w:r>
          </w:p>
          <w:p/>
        </w:tc>
        <w:tc>
          <w:tcPr>
            <w:tcW w:w="745" w:type="dxa"/>
            <w:gridSpan w:val="2"/>
          </w:tcPr>
          <w:p>
            <w:r>
              <w:rPr>
                <w:rFonts w:hint="eastAsia"/>
              </w:rPr>
              <w:t>文件名称</w:t>
            </w:r>
          </w:p>
        </w:tc>
        <w:tc>
          <w:tcPr>
            <w:tcW w:w="9272" w:type="dxa"/>
            <w:gridSpan w:val="3"/>
          </w:tcPr>
          <w:p>
            <w:r>
              <w:rPr>
                <w:rFonts w:hint="eastAsia"/>
              </w:rPr>
              <w:t>如：</w:t>
            </w:r>
            <w:r>
              <w:rPr>
                <w:rFonts w:hint="eastAsia"/>
              </w:rPr>
              <w:sym w:font="Wingdings" w:char="00FE"/>
            </w:r>
            <w:r>
              <w:rPr>
                <w:rFonts w:hint="eastAsia"/>
              </w:rPr>
              <w:t>管理手册9.1.1章</w:t>
            </w:r>
          </w:p>
        </w:tc>
        <w:tc>
          <w:tcPr>
            <w:tcW w:w="1577" w:type="dxa"/>
            <w:gridSpan w:val="2"/>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r>
              <w:rPr>
                <w:rFonts w:hint="eastAsia"/>
              </w:rPr>
              <w:t>组织对监视和测量的质量绩效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验收检测报告</w:t>
                  </w:r>
                </w:p>
              </w:tc>
              <w:tc>
                <w:tcPr>
                  <w:tcW w:w="2149" w:type="dxa"/>
                </w:tcPr>
                <w:p>
                  <w:r>
                    <w:rPr>
                      <w:rFonts w:hint="eastAsia"/>
                    </w:rPr>
                    <w:t>人工复核</w:t>
                  </w:r>
                </w:p>
              </w:tc>
              <w:tc>
                <w:tcPr>
                  <w:tcW w:w="1986" w:type="dxa"/>
                </w:tcPr>
                <w:p>
                  <w:pPr>
                    <w:widowControl/>
                    <w:spacing w:before="4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每月</w:t>
                  </w:r>
                  <w:r>
                    <w:rPr>
                      <w:rFonts w:hint="eastAsia"/>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 xml:space="preserve">每季度 </w:t>
                  </w:r>
                  <w:r>
                    <w:rPr>
                      <w:rFonts w:hint="eastAsia"/>
                      <w:color w:val="000000" w:themeColor="text1"/>
                      <w:szCs w:val="21"/>
                      <w14:textFill>
                        <w14:solidFill>
                          <w14:schemeClr w14:val="tx1"/>
                        </w14:solidFill>
                      </w14:textFill>
                    </w:rPr>
                    <w:t>□每年 □</w:t>
                  </w:r>
                  <w:r>
                    <w:rPr>
                      <w:rFonts w:hint="eastAsia"/>
                      <w:color w:val="000000" w:themeColor="text1"/>
                      <w14:textFill>
                        <w14:solidFill>
                          <w14:schemeClr w14:val="tx1"/>
                        </w14:solidFill>
                      </w14:textFill>
                    </w:rPr>
                    <w:t>其他</w:t>
                  </w:r>
                </w:p>
                <w:p>
                  <w:pPr>
                    <w:widowControl/>
                    <w:spacing w:before="40"/>
                    <w:jc w:val="left"/>
                    <w:rPr>
                      <w:color w:val="000000" w:themeColor="text1"/>
                      <w:szCs w:val="21"/>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每个项目结束</w:t>
                  </w:r>
                </w:p>
              </w:tc>
              <w:tc>
                <w:tcPr>
                  <w:tcW w:w="18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相关标准或客户要求</w:t>
                  </w:r>
                </w:p>
              </w:tc>
              <w:tc>
                <w:tcPr>
                  <w:tcW w:w="2034" w:type="dxa"/>
                </w:tcPr>
                <w:p>
                  <w:pPr>
                    <w:widowControl/>
                    <w:spacing w:before="4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每月</w:t>
                  </w:r>
                  <w:r>
                    <w:rPr>
                      <w:rFonts w:hint="eastAsia"/>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 xml:space="preserve">每季度 </w:t>
                  </w:r>
                  <w:r>
                    <w:rPr>
                      <w:rFonts w:hint="eastAsia"/>
                      <w:color w:val="000000" w:themeColor="text1"/>
                      <w:szCs w:val="21"/>
                      <w14:textFill>
                        <w14:solidFill>
                          <w14:schemeClr w14:val="tx1"/>
                        </w14:solidFill>
                      </w14:textFill>
                    </w:rPr>
                    <w:t xml:space="preserve">□每年 </w:t>
                  </w:r>
                  <w:r>
                    <w:rPr>
                      <w:rFonts w:ascii="Segoe UI Symbol" w:hAnsi="Segoe UI Symbol" w:cs="Segoe UI Symbol"/>
                      <w:color w:val="000000" w:themeColor="text1"/>
                      <w:sz w:val="15"/>
                      <w:szCs w:val="15"/>
                      <w14:textFill>
                        <w14:solidFill>
                          <w14:schemeClr w14:val="tx1"/>
                        </w14:solidFill>
                      </w14:textFill>
                    </w:rPr>
                    <w:t>☑</w:t>
                  </w: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ascii="Segoe UI Emoji" w:hAnsi="Segoe UI Emoji" w:cs="Segoe UI Emoji"/>
                      <w:color w:val="000000"/>
                      <w:sz w:val="18"/>
                      <w:szCs w:val="18"/>
                    </w:rPr>
                    <w:t>☑</w:t>
                  </w:r>
                  <w:r>
                    <w:rPr>
                      <w:rFonts w:hint="eastAsia"/>
                    </w:rPr>
                    <w:t>监督进度</w:t>
                  </w:r>
                </w:p>
                <w:p>
                  <w:r>
                    <w:rPr>
                      <w:rFonts w:ascii="Segoe UI Emoji" w:hAnsi="Segoe UI Emoji" w:cs="Segoe UI Emoji"/>
                      <w:color w:val="000000"/>
                      <w:sz w:val="18"/>
                      <w:szCs w:val="18"/>
                    </w:rPr>
                    <w:t>☑</w:t>
                  </w:r>
                  <w:r>
                    <w:rPr>
                      <w:rFonts w:hint="eastAsia"/>
                    </w:rPr>
                    <w:t>现场巡视</w:t>
                  </w:r>
                </w:p>
                <w:p>
                  <w:r>
                    <w:rPr>
                      <w:rFonts w:ascii="Segoe UI Emoji" w:hAnsi="Segoe UI Emoji" w:cs="Segoe UI Emoji"/>
                      <w:color w:val="000000"/>
                      <w:sz w:val="18"/>
                      <w:szCs w:val="18"/>
                    </w:rPr>
                    <w:t>☑</w:t>
                  </w:r>
                  <w:r>
                    <w:rPr>
                      <w:rFonts w:hint="eastAsia"/>
                    </w:rPr>
                    <w:t>抽查记录</w:t>
                  </w:r>
                </w:p>
                <w:p>
                  <w:r>
                    <w:rPr>
                      <w:rFonts w:ascii="Segoe UI Emoji" w:hAnsi="Segoe UI Emoji" w:cs="Segoe UI Emoji"/>
                      <w:color w:val="000000"/>
                      <w:sz w:val="18"/>
                      <w:szCs w:val="18"/>
                    </w:rPr>
                    <w:t>☑</w:t>
                  </w:r>
                  <w:r>
                    <w:rPr>
                      <w:rFonts w:hint="eastAsia"/>
                    </w:rPr>
                    <w:t>对质量目标进行统计</w:t>
                  </w:r>
                </w:p>
              </w:tc>
              <w:tc>
                <w:tcPr>
                  <w:tcW w:w="1986" w:type="dxa"/>
                </w:tcPr>
                <w:p>
                  <w:pPr>
                    <w:rPr>
                      <w:color w:val="000000" w:themeColor="text1"/>
                      <w14:textFill>
                        <w14:solidFill>
                          <w14:schemeClr w14:val="tx1"/>
                        </w14:solidFill>
                      </w14:textFill>
                    </w:rPr>
                  </w:pP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定期检查</w:t>
                  </w:r>
                </w:p>
                <w:p>
                  <w:pPr>
                    <w:rPr>
                      <w:color w:val="000000" w:themeColor="text1"/>
                      <w14:textFill>
                        <w14:solidFill>
                          <w14:schemeClr w14:val="tx1"/>
                        </w14:solidFill>
                      </w14:textFill>
                    </w:rPr>
                  </w:pP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抽查</w:t>
                  </w:r>
                </w:p>
                <w:p>
                  <w:pPr>
                    <w:rPr>
                      <w:color w:val="000000" w:themeColor="text1"/>
                      <w14:textFill>
                        <w14:solidFill>
                          <w14:schemeClr w14:val="tx1"/>
                        </w14:solidFill>
                      </w14:textFill>
                    </w:rPr>
                  </w:pP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每个项目结束</w:t>
                  </w:r>
                </w:p>
              </w:tc>
              <w:tc>
                <w:tcPr>
                  <w:tcW w:w="18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客户合同、法律法规要求</w:t>
                  </w:r>
                </w:p>
              </w:tc>
              <w:tc>
                <w:tcPr>
                  <w:tcW w:w="2034" w:type="dxa"/>
                </w:tcPr>
                <w:p>
                  <w:pPr>
                    <w:widowControl/>
                    <w:spacing w:before="4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每月</w:t>
                  </w:r>
                  <w:r>
                    <w:rPr>
                      <w:rFonts w:hint="eastAsia"/>
                      <w:color w:val="000000" w:themeColor="text1"/>
                      <w:szCs w:val="21"/>
                      <w14:textFill>
                        <w14:solidFill>
                          <w14:schemeClr w14:val="tx1"/>
                        </w14:solidFill>
                      </w14:textFill>
                    </w:rPr>
                    <w:t xml:space="preserve"> </w:t>
                  </w: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 xml:space="preserve">每季度 </w:t>
                  </w: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szCs w:val="21"/>
                      <w14:textFill>
                        <w14:solidFill>
                          <w14:schemeClr w14:val="tx1"/>
                        </w14:solidFill>
                      </w14:textFill>
                    </w:rPr>
                    <w:t xml:space="preserve">每年 </w:t>
                  </w:r>
                  <w:r>
                    <w:rPr>
                      <w:rFonts w:ascii="Segoe UI Emoji" w:hAnsi="Segoe UI Emoji" w:cs="Segoe UI Emoji"/>
                      <w:color w:val="000000" w:themeColor="text1"/>
                      <w:sz w:val="18"/>
                      <w:szCs w:val="18"/>
                      <w14:textFill>
                        <w14:solidFill>
                          <w14:schemeClr w14:val="tx1"/>
                        </w14:solidFill>
                      </w14:textFill>
                    </w:rPr>
                    <w:t>☑</w:t>
                  </w:r>
                  <w:r>
                    <w:rPr>
                      <w:rFonts w:hint="eastAsia"/>
                      <w:color w:val="000000" w:themeColor="text1"/>
                      <w14:textFill>
                        <w14:solidFill>
                          <w14:schemeClr w14:val="tx1"/>
                        </w14:solidFill>
                      </w14:textFill>
                    </w:rPr>
                    <w:t>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 w:val="18"/>
                      <w:szCs w:val="18"/>
                    </w:rPr>
                    <w:t>☑</w:t>
                  </w:r>
                  <w:r>
                    <w:rPr>
                      <w:rFonts w:hint="eastAsia"/>
                    </w:rPr>
                    <w:t>按年度内审计划</w:t>
                  </w:r>
                </w:p>
                <w:p>
                  <w:r>
                    <w:rPr>
                      <w:rFonts w:hint="eastAsia"/>
                      <w:color w:val="000000"/>
                      <w:sz w:val="18"/>
                      <w:szCs w:val="18"/>
                    </w:rPr>
                    <w:t>☑</w:t>
                  </w:r>
                  <w:r>
                    <w:rPr>
                      <w:rFonts w:hint="eastAsia"/>
                    </w:rPr>
                    <w:t>每年一次</w:t>
                  </w:r>
                </w:p>
                <w:p>
                  <w:r>
                    <w:rPr>
                      <w:rFonts w:hint="eastAsia"/>
                      <w:color w:val="000000"/>
                      <w:szCs w:val="21"/>
                    </w:rPr>
                    <w:t>□特殊情况增加</w:t>
                  </w:r>
                </w:p>
              </w:tc>
              <w:tc>
                <w:tcPr>
                  <w:tcW w:w="18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B/T19001-2016</w:t>
                  </w:r>
                  <w:r>
                    <w:rPr>
                      <w:rFonts w:hint="eastAsia"/>
                      <w:color w:val="000000" w:themeColor="text1"/>
                      <w14:textFill>
                        <w14:solidFill>
                          <w14:schemeClr w14:val="tx1"/>
                        </w14:solidFill>
                      </w14:textFill>
                    </w:rPr>
                    <w:t>标准</w:t>
                  </w:r>
                </w:p>
                <w:p>
                  <w:pPr>
                    <w:pStyle w:val="6"/>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《内部审核控制程序》</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w:t>
                  </w:r>
                  <w:r>
                    <w:t>Q</w:t>
                  </w:r>
                  <w:r>
                    <w:rPr>
                      <w:rFonts w:hint="eastAsia"/>
                    </w:rPr>
                    <w:t>MS存在的需要问题进行分析</w:t>
                  </w:r>
                </w:p>
              </w:tc>
              <w:tc>
                <w:tcPr>
                  <w:tcW w:w="1986" w:type="dxa"/>
                </w:tcPr>
                <w:p>
                  <w:r>
                    <w:rPr>
                      <w:rFonts w:hint="eastAsia"/>
                      <w:color w:val="000000"/>
                      <w:sz w:val="18"/>
                      <w:szCs w:val="18"/>
                    </w:rPr>
                    <w:t>☑</w:t>
                  </w:r>
                  <w:r>
                    <w:rPr>
                      <w:rFonts w:hint="eastAsia"/>
                    </w:rPr>
                    <w:t>每年一次</w:t>
                  </w:r>
                </w:p>
                <w:p>
                  <w:r>
                    <w:rPr>
                      <w:rFonts w:hint="eastAsia"/>
                      <w:color w:val="000000"/>
                      <w:szCs w:val="21"/>
                    </w:rPr>
                    <w:t>□特殊情况增加</w:t>
                  </w:r>
                </w:p>
              </w:tc>
              <w:tc>
                <w:tcPr>
                  <w:tcW w:w="188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B/T19001-2016</w:t>
                  </w:r>
                  <w:r>
                    <w:rPr>
                      <w:rFonts w:hint="eastAsia"/>
                      <w:color w:val="000000" w:themeColor="text1"/>
                      <w14:textFill>
                        <w14:solidFill>
                          <w14:schemeClr w14:val="tx1"/>
                        </w14:solidFill>
                      </w14:textFill>
                    </w:rPr>
                    <w:t>标准</w:t>
                  </w:r>
                </w:p>
                <w:p>
                  <w:pPr>
                    <w:pStyle w:val="6"/>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《管理评审控制程序》</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ascii="Segoe UI Emoji" w:hAnsi="Segoe UI Emoji" w:cs="Segoe UI Emoji"/>
                      <w:color w:val="000000"/>
                      <w:sz w:val="18"/>
                      <w:szCs w:val="18"/>
                    </w:rPr>
                    <w:t>☑</w:t>
                  </w:r>
                  <w:r>
                    <w:rPr>
                      <w:rFonts w:hint="eastAsia"/>
                    </w:rPr>
                    <w:t>每个项目结束</w:t>
                  </w:r>
                </w:p>
              </w:tc>
              <w:tc>
                <w:tcPr>
                  <w:tcW w:w="1887" w:type="dxa"/>
                </w:tcPr>
                <w:p>
                  <w:r>
                    <w:rPr>
                      <w:rFonts w:hint="eastAsia"/>
                    </w:rPr>
                    <w:t>客户满意度调查</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w:t>
                  </w:r>
                  <w:r>
                    <w:rPr>
                      <w:rFonts w:ascii="Segoe UI Emoji" w:hAnsi="Segoe UI Emoji" w:cs="Segoe UI Emoji"/>
                      <w:color w:val="000000"/>
                      <w:sz w:val="13"/>
                      <w:szCs w:val="13"/>
                    </w:rPr>
                    <w:t>☑</w:t>
                  </w:r>
                  <w:r>
                    <w:rPr>
                      <w:rFonts w:hint="eastAsia"/>
                    </w:rPr>
                    <w:t>每项目结束</w:t>
                  </w:r>
                </w:p>
              </w:tc>
            </w:tr>
          </w:tbl>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4" w:type="dxa"/>
            <w:gridSpan w:val="3"/>
            <w:vMerge w:val="restart"/>
          </w:tcPr>
          <w:p>
            <w:r>
              <w:rPr>
                <w:rFonts w:hint="eastAsia"/>
              </w:rPr>
              <w:t>管理评审</w:t>
            </w:r>
          </w:p>
        </w:tc>
        <w:tc>
          <w:tcPr>
            <w:tcW w:w="936" w:type="dxa"/>
            <w:vMerge w:val="restart"/>
          </w:tcPr>
          <w:p>
            <w:r>
              <w:rPr>
                <w:rFonts w:hint="eastAsia"/>
              </w:rPr>
              <w:t>Q9.3</w:t>
            </w:r>
          </w:p>
        </w:tc>
        <w:tc>
          <w:tcPr>
            <w:tcW w:w="745" w:type="dxa"/>
            <w:gridSpan w:val="2"/>
          </w:tcPr>
          <w:p>
            <w:r>
              <w:rPr>
                <w:rFonts w:hint="eastAsia"/>
              </w:rPr>
              <w:t>文件名称</w:t>
            </w:r>
          </w:p>
        </w:tc>
        <w:tc>
          <w:tcPr>
            <w:tcW w:w="9272" w:type="dxa"/>
            <w:gridSpan w:val="3"/>
          </w:tcPr>
          <w:p>
            <w:r>
              <w:rPr>
                <w:rFonts w:hint="eastAsia"/>
              </w:rPr>
              <w:t>如：</w:t>
            </w:r>
            <w:r>
              <w:rPr/>
              <w:sym w:font="Wingdings" w:char="00FE"/>
            </w:r>
            <w:r>
              <w:rPr>
                <w:rFonts w:hint="eastAsia"/>
              </w:rPr>
              <w:t>《管理评审控制程序》</w:t>
            </w:r>
          </w:p>
          <w:p>
            <w:pPr>
              <w:pStyle w:val="6"/>
            </w:pPr>
          </w:p>
        </w:tc>
        <w:tc>
          <w:tcPr>
            <w:tcW w:w="1577" w:type="dxa"/>
            <w:gridSpan w:val="2"/>
            <w:vMerge w:val="restart"/>
          </w:tcPr>
          <w:p>
            <w:pPr>
              <w:rPr>
                <w:color w:val="000000"/>
                <w:szCs w:val="21"/>
              </w:rPr>
            </w:pPr>
            <w:r>
              <w:rPr>
                <w:color w:val="000000"/>
                <w:szCs w:val="21"/>
              </w:rPr>
              <w:sym w:font="Wingdings" w:char="00FE"/>
            </w:r>
            <w:r>
              <w:rPr>
                <w:rFonts w:hint="eastAsia"/>
                <w:color w:val="000000"/>
                <w:szCs w:val="21"/>
              </w:rPr>
              <w:t>符合</w:t>
            </w:r>
          </w:p>
          <w:p>
            <w:r>
              <w:rPr>
                <w:rFonts w:hint="eastAsia"/>
                <w:color w:val="00000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84" w:type="dxa"/>
            <w:gridSpan w:val="3"/>
            <w:vMerge w:val="continue"/>
          </w:tcPr>
          <w:p/>
        </w:tc>
        <w:tc>
          <w:tcPr>
            <w:tcW w:w="936" w:type="dxa"/>
            <w:vMerge w:val="continue"/>
          </w:tcPr>
          <w:p/>
        </w:tc>
        <w:tc>
          <w:tcPr>
            <w:tcW w:w="745" w:type="dxa"/>
            <w:gridSpan w:val="2"/>
          </w:tcPr>
          <w:p>
            <w:pPr>
              <w:widowControl/>
              <w:spacing w:before="40"/>
              <w:jc w:val="left"/>
              <w:rPr>
                <w:color w:val="000000"/>
                <w:szCs w:val="18"/>
              </w:rPr>
            </w:pPr>
          </w:p>
          <w:p>
            <w:r>
              <w:rPr>
                <w:rFonts w:hint="eastAsia"/>
              </w:rPr>
              <w:t>运行证据</w:t>
            </w:r>
          </w:p>
        </w:tc>
        <w:tc>
          <w:tcPr>
            <w:tcW w:w="9272" w:type="dxa"/>
            <w:gridSpan w:val="3"/>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rFonts w:hint="eastAsia"/>
                <w:color w:val="000000"/>
                <w:sz w:val="18"/>
                <w:szCs w:val="18"/>
              </w:rPr>
              <w:t>☑</w:t>
            </w:r>
            <w:r>
              <w:rPr>
                <w:rFonts w:hint="eastAsia"/>
              </w:rPr>
              <w:t>近一年</w:t>
            </w:r>
            <w:r>
              <w:rPr>
                <w:rFonts w:hint="eastAsia"/>
                <w:color w:val="000000"/>
                <w:szCs w:val="18"/>
              </w:rPr>
              <w:t>，于</w:t>
            </w:r>
            <w:r>
              <w:rPr>
                <w:rFonts w:hint="eastAsia"/>
                <w:color w:val="000000"/>
                <w:szCs w:val="18"/>
                <w:u w:val="single"/>
              </w:rPr>
              <w:t xml:space="preserve"> </w:t>
            </w:r>
            <w:bookmarkStart w:id="1" w:name="_GoBack"/>
            <w:r>
              <w:rPr>
                <w:color w:val="000000"/>
                <w:szCs w:val="18"/>
                <w:u w:val="single"/>
              </w:rPr>
              <w:t xml:space="preserve">  2022    </w:t>
            </w:r>
            <w:r>
              <w:rPr>
                <w:rFonts w:hint="eastAsia"/>
                <w:color w:val="000000"/>
                <w:szCs w:val="18"/>
              </w:rPr>
              <w:t>年</w:t>
            </w:r>
            <w:r>
              <w:rPr>
                <w:rFonts w:hint="eastAsia"/>
                <w:color w:val="000000"/>
                <w:szCs w:val="18"/>
                <w:u w:val="single"/>
              </w:rPr>
              <w:t xml:space="preserve"> </w:t>
            </w:r>
            <w:r>
              <w:rPr>
                <w:color w:val="000000"/>
                <w:szCs w:val="18"/>
                <w:u w:val="single"/>
              </w:rPr>
              <w:t xml:space="preserve"> 4  </w:t>
            </w:r>
            <w:r>
              <w:rPr>
                <w:rFonts w:hint="eastAsia"/>
                <w:color w:val="000000"/>
                <w:szCs w:val="18"/>
              </w:rPr>
              <w:t>月</w:t>
            </w:r>
            <w:r>
              <w:rPr>
                <w:rFonts w:hint="eastAsia"/>
                <w:color w:val="000000"/>
                <w:szCs w:val="18"/>
                <w:u w:val="single"/>
              </w:rPr>
              <w:t xml:space="preserve"> </w:t>
            </w:r>
            <w:r>
              <w:rPr>
                <w:color w:val="000000"/>
                <w:szCs w:val="18"/>
                <w:u w:val="single"/>
              </w:rPr>
              <w:t xml:space="preserve"> 29    </w:t>
            </w:r>
            <w:r>
              <w:rPr>
                <w:rFonts w:hint="eastAsia"/>
                <w:color w:val="000000"/>
                <w:szCs w:val="18"/>
              </w:rPr>
              <w:t>日</w:t>
            </w:r>
            <w:bookmarkEnd w:id="1"/>
            <w:r>
              <w:rPr>
                <w:rFonts w:hint="eastAsia"/>
                <w:color w:val="000000"/>
                <w:szCs w:val="18"/>
              </w:rPr>
              <w:t>实施了管理评审；</w:t>
            </w:r>
          </w:p>
          <w:p>
            <w:pPr>
              <w:widowControl/>
              <w:spacing w:before="40"/>
              <w:jc w:val="left"/>
              <w:rPr>
                <w:color w:val="000000"/>
                <w:szCs w:val="18"/>
              </w:rPr>
            </w:pPr>
            <w:r>
              <w:rPr>
                <w:rFonts w:hint="eastAsia"/>
                <w:color w:val="000000"/>
                <w:szCs w:val="18"/>
              </w:rPr>
              <w:t>查看</w:t>
            </w:r>
            <w:r>
              <w:rPr/>
              <w:sym w:font="Wingdings" w:char="00FE"/>
            </w:r>
            <w:r>
              <w:rPr>
                <w:rFonts w:hint="eastAsia"/>
                <w:color w:val="000000"/>
                <w:szCs w:val="21"/>
              </w:rPr>
              <w:t xml:space="preserve">管理评审计划  </w:t>
            </w:r>
            <w:r>
              <w:rPr/>
              <w:sym w:font="Wingdings" w:char="00FE"/>
            </w:r>
            <w:r>
              <w:rPr>
                <w:rFonts w:hint="eastAsia"/>
                <w:color w:val="000000"/>
                <w:szCs w:val="21"/>
              </w:rPr>
              <w:t xml:space="preserve">管理评审记录（工作总结）  □管理评审纪要  </w:t>
            </w:r>
            <w:r>
              <w:rPr/>
              <w:sym w:font="Wingdings" w:char="00FE"/>
            </w:r>
            <w:r>
              <w:rPr>
                <w:rFonts w:hint="eastAsia"/>
                <w:color w:val="000000"/>
                <w:szCs w:val="21"/>
              </w:rPr>
              <w:t>管理评审报告</w:t>
            </w:r>
          </w:p>
          <w:p>
            <w:pPr>
              <w:widowControl/>
              <w:spacing w:before="40"/>
              <w:jc w:val="left"/>
              <w:rPr>
                <w:color w:val="000000"/>
                <w:szCs w:val="21"/>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以往管理评审所采取措施的情况；</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与质量管理体系相关的内外部因素的变化；</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顾客满意和有关相关方的反馈及趋势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质量目标的实现程度及趋势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过程绩效以及产品和服务的合格情况及趋势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不合格及纠正措施及趋势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监视和测量结果及趋势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内审、外部审核结果及趋势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外部供方的绩效及趋势</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资源的充分性；</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应对风险和机遇所采取措施的有效性</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改进的机会</w:t>
                  </w:r>
                </w:p>
              </w:tc>
              <w:tc>
                <w:tcPr>
                  <w:tcW w:w="1990"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szCs w:val="21"/>
                      <w14:textFill>
                        <w14:solidFill>
                          <w14:schemeClr w14:val="tx1"/>
                        </w14:solidFill>
                      </w14:textFill>
                    </w:rPr>
                    <w:t>符合 □不符合</w:t>
                  </w:r>
                </w:p>
              </w:tc>
              <w:tc>
                <w:tcPr>
                  <w:tcW w:w="2816" w:type="dxa"/>
                </w:tcPr>
                <w:p>
                  <w:pPr>
                    <w:widowControl/>
                    <w:spacing w:before="40"/>
                    <w:jc w:val="left"/>
                    <w:rPr>
                      <w:color w:val="000000" w:themeColor="text1"/>
                      <w:szCs w:val="21"/>
                      <w14:textFill>
                        <w14:solidFill>
                          <w14:schemeClr w14:val="tx1"/>
                        </w14:solidFill>
                      </w14:textFill>
                    </w:rPr>
                  </w:pPr>
                </w:p>
              </w:tc>
            </w:tr>
          </w:tbl>
          <w:p>
            <w:pPr>
              <w:widowControl/>
              <w:spacing w:before="40"/>
              <w:jc w:val="left"/>
              <w:rPr>
                <w:color w:val="000000" w:themeColor="text1"/>
                <w:szCs w:val="21"/>
                <w14:textFill>
                  <w14:solidFill>
                    <w14:schemeClr w14:val="tx1"/>
                  </w14:solidFill>
                </w14:textFill>
              </w:rPr>
            </w:pPr>
          </w:p>
          <w:p>
            <w:pPr>
              <w:widowControl/>
              <w:spacing w:before="40"/>
              <w:jc w:val="left"/>
              <w:rPr>
                <w:color w:val="000000" w:themeColor="text1"/>
                <w:szCs w:val="21"/>
                <w14:textFill>
                  <w14:solidFill>
                    <w14:schemeClr w14:val="tx1"/>
                  </w14:solidFill>
                </w14:textFill>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14:textFill>
                        <w14:solidFill>
                          <w14:schemeClr w14:val="tx1"/>
                        </w14:solidFill>
                      </w14:textFill>
                    </w:rPr>
                  </w:pPr>
                  <w:r>
                    <w:rPr>
                      <w:rFonts w:hint="eastAsia"/>
                      <w:color w:val="000000" w:themeColor="text1"/>
                      <w:szCs w:val="18"/>
                      <w14:textFill>
                        <w14:solidFill>
                          <w14:schemeClr w14:val="tx1"/>
                        </w14:solidFill>
                      </w14:textFill>
                    </w:rPr>
                    <w:t>管理评审输出信息</w:t>
                  </w:r>
                </w:p>
              </w:tc>
              <w:tc>
                <w:tcPr>
                  <w:tcW w:w="4620" w:type="dxa"/>
                </w:tcPr>
                <w:p>
                  <w:pPr>
                    <w:widowControl/>
                    <w:spacing w:before="4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措施描述（举例）</w:t>
                  </w:r>
                </w:p>
              </w:tc>
              <w:tc>
                <w:tcPr>
                  <w:tcW w:w="2496"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改进的机会</w:t>
                  </w:r>
                </w:p>
              </w:tc>
              <w:tc>
                <w:tcPr>
                  <w:tcW w:w="4620" w:type="dxa"/>
                </w:tcPr>
                <w:p>
                  <w:pPr>
                    <w:widowControl/>
                    <w:spacing w:before="40"/>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员工对标准的理解不够深刻，不能完全的应用到实际。改进措施：聘请外部咨询老师对标准的内容进行讲解。</w:t>
                  </w:r>
                </w:p>
              </w:tc>
              <w:tc>
                <w:tcPr>
                  <w:tcW w:w="2496" w:type="dxa"/>
                </w:tcPr>
                <w:p>
                  <w:pPr>
                    <w:widowControl/>
                    <w:spacing w:before="40"/>
                    <w:jc w:val="left"/>
                    <w:rPr>
                      <w:color w:val="000000" w:themeColor="text1"/>
                      <w:szCs w:val="21"/>
                      <w14:textFill>
                        <w14:solidFill>
                          <w14:schemeClr w14:val="tx1"/>
                        </w14:solidFill>
                      </w14:textFill>
                    </w:rPr>
                  </w:pP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已落实</w:t>
                  </w:r>
                  <w:r>
                    <w:rPr>
                      <w:rFonts w:hint="eastAsia"/>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sym w:font="Wingdings" w:char="00A8"/>
            </w:r>
            <w:r>
              <w:rPr>
                <w:rFonts w:hint="eastAsia"/>
              </w:rPr>
              <w:t>改进措施未落实的原因：</w:t>
            </w:r>
          </w:p>
          <w:p>
            <w:r>
              <w:rPr>
                <w:rFonts w:hint="eastAsia" w:ascii="方正仿宋简体" w:eastAsia="方正仿宋简体"/>
                <w:b/>
                <w:color w:val="FF0000"/>
              </w:rPr>
              <w:t xml:space="preserve"> </w:t>
            </w:r>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4" w:type="dxa"/>
            <w:gridSpan w:val="3"/>
            <w:vMerge w:val="restart"/>
          </w:tcPr>
          <w:p>
            <w:r>
              <w:rPr>
                <w:rFonts w:hint="eastAsia"/>
              </w:rPr>
              <w:t>改进</w:t>
            </w:r>
          </w:p>
        </w:tc>
        <w:tc>
          <w:tcPr>
            <w:tcW w:w="936" w:type="dxa"/>
            <w:vMerge w:val="restart"/>
          </w:tcPr>
          <w:p>
            <w:r>
              <w:rPr>
                <w:rFonts w:hint="eastAsia"/>
              </w:rPr>
              <w:t>Q10.1</w:t>
            </w:r>
          </w:p>
        </w:tc>
        <w:tc>
          <w:tcPr>
            <w:tcW w:w="745" w:type="dxa"/>
            <w:gridSpan w:val="2"/>
          </w:tcPr>
          <w:p>
            <w:r>
              <w:rPr>
                <w:rFonts w:hint="eastAsia"/>
              </w:rPr>
              <w:t>文件名称</w:t>
            </w:r>
          </w:p>
        </w:tc>
        <w:tc>
          <w:tcPr>
            <w:tcW w:w="9279" w:type="dxa"/>
            <w:gridSpan w:val="4"/>
          </w:tcPr>
          <w:p>
            <w:r>
              <w:rPr>
                <w:rFonts w:hint="eastAsia"/>
              </w:rPr>
              <w:t>如：</w:t>
            </w:r>
            <w:r>
              <w:rPr>
                <w:rFonts w:hint="eastAsia"/>
              </w:rPr>
              <w:sym w:font="Wingdings" w:char="00FE"/>
            </w:r>
            <w:r>
              <w:rPr>
                <w:rFonts w:hint="eastAsia"/>
              </w:rPr>
              <w:t>管理手册10.1章</w:t>
            </w:r>
          </w:p>
        </w:tc>
        <w:tc>
          <w:tcPr>
            <w:tcW w:w="1570"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9" w:type="dxa"/>
            <w:gridSpan w:val="4"/>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7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不符合与纠正措施</w:t>
            </w:r>
          </w:p>
        </w:tc>
        <w:tc>
          <w:tcPr>
            <w:tcW w:w="960" w:type="dxa"/>
            <w:gridSpan w:val="3"/>
            <w:vMerge w:val="restart"/>
          </w:tcPr>
          <w:p>
            <w:r>
              <w:rPr>
                <w:rFonts w:hint="eastAsia"/>
              </w:rPr>
              <w:t>Q10.2</w:t>
            </w:r>
          </w:p>
        </w:tc>
        <w:tc>
          <w:tcPr>
            <w:tcW w:w="745" w:type="dxa"/>
            <w:gridSpan w:val="2"/>
          </w:tcPr>
          <w:p>
            <w:r>
              <w:rPr>
                <w:rFonts w:hint="eastAsia"/>
              </w:rPr>
              <w:t>文件名称</w:t>
            </w:r>
          </w:p>
        </w:tc>
        <w:tc>
          <w:tcPr>
            <w:tcW w:w="9272" w:type="dxa"/>
            <w:gridSpan w:val="3"/>
          </w:tcPr>
          <w:p>
            <w:r>
              <w:rPr>
                <w:rFonts w:hint="eastAsia"/>
              </w:rPr>
              <w:t>如：《不符合和纠正措施控制程序》</w:t>
            </w:r>
          </w:p>
        </w:tc>
        <w:tc>
          <w:tcPr>
            <w:tcW w:w="1577" w:type="dxa"/>
            <w:gridSpan w:val="2"/>
            <w:vMerge w:val="restart"/>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gridSpan w:val="3"/>
            <w:vMerge w:val="continue"/>
          </w:tcPr>
          <w:p/>
        </w:tc>
        <w:tc>
          <w:tcPr>
            <w:tcW w:w="745" w:type="dxa"/>
            <w:gridSpan w:val="2"/>
          </w:tcPr>
          <w:p>
            <w:r>
              <w:rPr>
                <w:rFonts w:hint="eastAsia"/>
              </w:rPr>
              <w:t>运行证据</w:t>
            </w:r>
          </w:p>
        </w:tc>
        <w:tc>
          <w:tcPr>
            <w:tcW w:w="9272" w:type="dxa"/>
            <w:gridSpan w:val="3"/>
          </w:tcPr>
          <w:p>
            <w:r>
              <w:rPr>
                <w:rFonts w:hint="eastAsia"/>
              </w:rPr>
              <w:t>不符合的来源：</w:t>
            </w:r>
          </w:p>
          <w:p>
            <w:r>
              <w:rPr>
                <w:rFonts w:hint="eastAsia"/>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  近一年以来，未发生             》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p/>
        </w:tc>
        <w:tc>
          <w:tcPr>
            <w:tcW w:w="157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4" w:type="dxa"/>
            <w:gridSpan w:val="3"/>
            <w:vMerge w:val="restart"/>
          </w:tcPr>
          <w:p>
            <w:r>
              <w:rPr>
                <w:rFonts w:hint="eastAsia"/>
              </w:rPr>
              <w:t>10.3 持续改进</w:t>
            </w:r>
          </w:p>
          <w:p/>
        </w:tc>
        <w:tc>
          <w:tcPr>
            <w:tcW w:w="936" w:type="dxa"/>
            <w:vMerge w:val="restart"/>
          </w:tcPr>
          <w:p>
            <w:r>
              <w:rPr>
                <w:rFonts w:hint="eastAsia"/>
              </w:rPr>
              <w:t>Q10.3</w:t>
            </w:r>
          </w:p>
        </w:tc>
        <w:tc>
          <w:tcPr>
            <w:tcW w:w="745" w:type="dxa"/>
            <w:gridSpan w:val="2"/>
          </w:tcPr>
          <w:p>
            <w:r>
              <w:rPr>
                <w:rFonts w:hint="eastAsia"/>
              </w:rPr>
              <w:t>文件名称</w:t>
            </w:r>
          </w:p>
        </w:tc>
        <w:tc>
          <w:tcPr>
            <w:tcW w:w="9279" w:type="dxa"/>
            <w:gridSpan w:val="4"/>
          </w:tcPr>
          <w:p>
            <w:r>
              <w:rPr>
                <w:rFonts w:hint="eastAsia"/>
              </w:rPr>
              <w:t>如：</w:t>
            </w:r>
            <w:r>
              <w:rPr>
                <w:rFonts w:hint="eastAsia"/>
              </w:rPr>
              <w:sym w:font="Wingdings" w:char="00FE"/>
            </w:r>
            <w:r>
              <w:rPr>
                <w:rFonts w:hint="eastAsia"/>
              </w:rPr>
              <w:t>管理手册10.3章</w:t>
            </w:r>
          </w:p>
        </w:tc>
        <w:tc>
          <w:tcPr>
            <w:tcW w:w="157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4" w:type="dxa"/>
            <w:gridSpan w:val="3"/>
            <w:vMerge w:val="continue"/>
          </w:tcPr>
          <w:p/>
        </w:tc>
        <w:tc>
          <w:tcPr>
            <w:tcW w:w="936" w:type="dxa"/>
            <w:vMerge w:val="continue"/>
          </w:tcPr>
          <w:p/>
        </w:tc>
        <w:tc>
          <w:tcPr>
            <w:tcW w:w="745" w:type="dxa"/>
            <w:gridSpan w:val="2"/>
          </w:tcPr>
          <w:p>
            <w:r>
              <w:rPr>
                <w:rFonts w:hint="eastAsia"/>
              </w:rPr>
              <w:t>运行证据</w:t>
            </w:r>
          </w:p>
        </w:tc>
        <w:tc>
          <w:tcPr>
            <w:tcW w:w="9272" w:type="dxa"/>
            <w:gridSpan w:val="3"/>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管理评审改进措施已落实</w:t>
            </w:r>
          </w:p>
          <w:p>
            <w:pPr>
              <w:rPr>
                <w:color w:val="0070C0"/>
                <w:u w:val="single"/>
              </w:rPr>
            </w:pPr>
            <w:r>
              <w:rPr>
                <w:rFonts w:hint="eastAsia"/>
              </w:rPr>
              <w:sym w:font="Wingdings" w:char="00A8"/>
            </w:r>
            <w:r>
              <w:rPr>
                <w:rFonts w:hint="eastAsia"/>
              </w:rPr>
              <w:t>管理评审改进措施未落实的原因：</w:t>
            </w:r>
            <w:r>
              <w:rPr>
                <w:rFonts w:hint="eastAsia"/>
                <w:u w:val="single"/>
              </w:rPr>
              <w:t xml:space="preserve">  </w:t>
            </w:r>
            <w:r>
              <w:rPr>
                <w:rFonts w:hint="eastAsia" w:ascii="方正仿宋简体" w:eastAsia="方正仿宋简体"/>
                <w:b/>
                <w:color w:val="0070C0"/>
                <w:u w:val="single"/>
              </w:rPr>
              <w:t xml:space="preserve"> </w:t>
            </w:r>
          </w:p>
          <w:p/>
        </w:tc>
        <w:tc>
          <w:tcPr>
            <w:tcW w:w="1577"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2"/>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957" w:type="dxa"/>
            <w:gridSpan w:val="3"/>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2"/>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lang w:val="en-US" w:eastAsia="zh-CN"/>
              </w:rPr>
              <w:t>远程</w:t>
            </w:r>
            <w:r>
              <w:rPr>
                <w:rFonts w:hint="eastAsia" w:ascii="宋体" w:hAnsi="宋体" w:cs="宋体"/>
                <w:szCs w:val="21"/>
              </w:rPr>
              <w:t>确认：</w:t>
            </w:r>
          </w:p>
          <w:p>
            <w:pPr>
              <w:numPr>
                <w:ilvl w:val="0"/>
                <w:numId w:val="2"/>
              </w:numPr>
              <w:spacing w:line="360" w:lineRule="auto"/>
              <w:rPr>
                <w:szCs w:val="21"/>
                <w:highlight w:val="none"/>
              </w:rPr>
            </w:pPr>
            <w:r>
              <w:rPr>
                <w:rFonts w:hint="eastAsia"/>
                <w:b/>
                <w:szCs w:val="21"/>
                <w:highlight w:val="none"/>
              </w:rPr>
              <w:t>认证范围</w:t>
            </w:r>
            <w:r>
              <w:rPr>
                <w:rFonts w:hint="eastAsia"/>
                <w:szCs w:val="21"/>
                <w:highlight w:val="none"/>
              </w:rPr>
              <w:t>：</w:t>
            </w:r>
          </w:p>
          <w:p>
            <w:pPr>
              <w:pStyle w:val="8"/>
              <w:spacing w:line="360" w:lineRule="auto"/>
              <w:ind w:left="0" w:leftChars="0" w:firstLine="400" w:firstLineChars="200"/>
              <w:rPr>
                <w:rFonts w:hint="eastAsia"/>
                <w:sz w:val="20"/>
                <w:lang w:val="en-US" w:eastAsia="zh-CN"/>
              </w:rPr>
            </w:pPr>
            <w:r>
              <w:rPr>
                <w:rFonts w:hint="eastAsia"/>
                <w:sz w:val="20"/>
                <w:lang w:val="en-US" w:eastAsia="zh-CN"/>
              </w:rPr>
              <w:t>无变化</w:t>
            </w:r>
          </w:p>
          <w:p>
            <w:pPr>
              <w:numPr>
                <w:ilvl w:val="0"/>
                <w:numId w:val="2"/>
              </w:numPr>
              <w:spacing w:line="360" w:lineRule="auto"/>
              <w:ind w:left="0" w:leftChars="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资质情况</w:t>
            </w:r>
          </w:p>
          <w:p>
            <w:pPr>
              <w:numPr>
                <w:ilvl w:val="0"/>
                <w:numId w:val="0"/>
              </w:numPr>
              <w:spacing w:line="360" w:lineRule="auto"/>
              <w:ind w:leftChars="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远程</w:t>
            </w:r>
            <w:r>
              <w:rPr>
                <w:rFonts w:hint="eastAsia" w:ascii="宋体" w:hAnsi="宋体" w:cs="宋体"/>
                <w:szCs w:val="21"/>
                <w:highlight w:val="none"/>
              </w:rPr>
              <w:t>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营业执照发生变更，已收集最新，见收集材料；</w:t>
            </w:r>
          </w:p>
          <w:p>
            <w:pPr>
              <w:numPr>
                <w:ilvl w:val="0"/>
                <w:numId w:val="0"/>
              </w:numPr>
              <w:spacing w:line="360" w:lineRule="auto"/>
              <w:ind w:leftChars="0" w:firstLine="420" w:firstLineChars="200"/>
              <w:jc w:val="left"/>
              <w:rPr>
                <w:rFonts w:hint="default"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经营地址发生变更，CMA证书地址未变更只提交了申请书，但申请书中未明确变更地址，也未见监管部门受理证据，开不符合项；见不符合</w:t>
            </w:r>
          </w:p>
          <w:p>
            <w:pPr>
              <w:numPr>
                <w:ilvl w:val="0"/>
                <w:numId w:val="0"/>
              </w:numPr>
              <w:spacing w:line="360" w:lineRule="auto"/>
              <w:ind w:leftChars="0" w:firstLine="420" w:firstLineChars="200"/>
              <w:jc w:val="left"/>
              <w:rPr>
                <w:rFonts w:hint="eastAsia" w:ascii="宋体" w:hAnsi="宋体" w:cs="宋体"/>
                <w:szCs w:val="21"/>
                <w:highlight w:val="none"/>
                <w:lang w:val="en-US" w:eastAsia="zh-CN"/>
              </w:rPr>
            </w:pP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月至今，公司没有顾客的重大安全投诉</w:t>
            </w:r>
            <w:r>
              <w:rPr>
                <w:rFonts w:hint="eastAsia" w:ascii="宋体" w:hAnsi="宋体" w:cs="宋体"/>
                <w:szCs w:val="21"/>
                <w:highlight w:val="none"/>
                <w:lang w:val="en-US" w:eastAsia="zh-CN"/>
              </w:rPr>
              <w:t>/事故</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未发生环保处罚事件</w:t>
            </w:r>
            <w:r>
              <w:rPr>
                <w:rFonts w:hint="eastAsia" w:ascii="宋体" w:hAnsi="宋体" w:cs="宋体"/>
                <w:szCs w:val="21"/>
                <w:highlight w:val="none"/>
              </w:rPr>
              <w:t>。</w:t>
            </w:r>
          </w:p>
          <w:p>
            <w:pP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远程询问</w:t>
            </w:r>
            <w:r>
              <w:rPr>
                <w:rFonts w:hint="eastAsia" w:ascii="宋体" w:hAnsi="宋体" w:cs="宋体"/>
                <w:szCs w:val="21"/>
                <w:highlight w:val="none"/>
              </w:rPr>
              <w:t>认证证书、标志的使用无违规使用情况</w:t>
            </w:r>
            <w:r>
              <w:rPr>
                <w:rFonts w:hint="eastAsia" w:ascii="宋体" w:hAnsi="宋体" w:cs="宋体"/>
                <w:szCs w:val="21"/>
                <w:highlight w:val="none"/>
                <w:lang w:eastAsia="zh-CN"/>
              </w:rPr>
              <w:t>；</w:t>
            </w:r>
          </w:p>
          <w:p>
            <w:pP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gridSpan w:val="3"/>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方正仿宋简体">
    <w:altName w:val="黑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-15875</wp:posOffset>
          </wp:positionH>
          <wp:positionV relativeFrom="paragraph">
            <wp:posOffset>-56515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1947"/>
    <w:rsid w:val="0000685A"/>
    <w:rsid w:val="000237F6"/>
    <w:rsid w:val="0003373A"/>
    <w:rsid w:val="000400E2"/>
    <w:rsid w:val="00062E46"/>
    <w:rsid w:val="00070815"/>
    <w:rsid w:val="000E6B21"/>
    <w:rsid w:val="00100735"/>
    <w:rsid w:val="00141465"/>
    <w:rsid w:val="001A2D7F"/>
    <w:rsid w:val="001D5043"/>
    <w:rsid w:val="00200136"/>
    <w:rsid w:val="002778BD"/>
    <w:rsid w:val="002939AD"/>
    <w:rsid w:val="002B60AC"/>
    <w:rsid w:val="002E4C12"/>
    <w:rsid w:val="002E5E60"/>
    <w:rsid w:val="00305A61"/>
    <w:rsid w:val="00314AF6"/>
    <w:rsid w:val="00337922"/>
    <w:rsid w:val="00340867"/>
    <w:rsid w:val="00345E4C"/>
    <w:rsid w:val="00372381"/>
    <w:rsid w:val="00372F68"/>
    <w:rsid w:val="00377838"/>
    <w:rsid w:val="00380837"/>
    <w:rsid w:val="003A198A"/>
    <w:rsid w:val="003B1A31"/>
    <w:rsid w:val="00410914"/>
    <w:rsid w:val="0041786E"/>
    <w:rsid w:val="0045085B"/>
    <w:rsid w:val="00457C83"/>
    <w:rsid w:val="0048201E"/>
    <w:rsid w:val="00487E50"/>
    <w:rsid w:val="004B3182"/>
    <w:rsid w:val="00512B45"/>
    <w:rsid w:val="00516F67"/>
    <w:rsid w:val="00536930"/>
    <w:rsid w:val="00537D8A"/>
    <w:rsid w:val="00564E53"/>
    <w:rsid w:val="005D55F3"/>
    <w:rsid w:val="005D5659"/>
    <w:rsid w:val="005E35D8"/>
    <w:rsid w:val="00600C20"/>
    <w:rsid w:val="00644FE2"/>
    <w:rsid w:val="0067640C"/>
    <w:rsid w:val="006B479B"/>
    <w:rsid w:val="006E678B"/>
    <w:rsid w:val="006E7B1D"/>
    <w:rsid w:val="0072007E"/>
    <w:rsid w:val="007757F3"/>
    <w:rsid w:val="00776BAC"/>
    <w:rsid w:val="007842AD"/>
    <w:rsid w:val="00787ACF"/>
    <w:rsid w:val="007C1B48"/>
    <w:rsid w:val="007E3B15"/>
    <w:rsid w:val="007E6AEB"/>
    <w:rsid w:val="0082192A"/>
    <w:rsid w:val="00873CF1"/>
    <w:rsid w:val="00892A11"/>
    <w:rsid w:val="008973EE"/>
    <w:rsid w:val="008A0465"/>
    <w:rsid w:val="008C0490"/>
    <w:rsid w:val="008C0EB3"/>
    <w:rsid w:val="0090507E"/>
    <w:rsid w:val="00913010"/>
    <w:rsid w:val="009511C5"/>
    <w:rsid w:val="00971600"/>
    <w:rsid w:val="009973B4"/>
    <w:rsid w:val="00997C3F"/>
    <w:rsid w:val="009C28C1"/>
    <w:rsid w:val="009D3258"/>
    <w:rsid w:val="009E3BC5"/>
    <w:rsid w:val="009F7EED"/>
    <w:rsid w:val="00A24ADA"/>
    <w:rsid w:val="00A5634B"/>
    <w:rsid w:val="00A80636"/>
    <w:rsid w:val="00AF0AAB"/>
    <w:rsid w:val="00AF36EC"/>
    <w:rsid w:val="00B301E7"/>
    <w:rsid w:val="00B45FFE"/>
    <w:rsid w:val="00B5715D"/>
    <w:rsid w:val="00B829C3"/>
    <w:rsid w:val="00BB2E27"/>
    <w:rsid w:val="00BF04FA"/>
    <w:rsid w:val="00BF597E"/>
    <w:rsid w:val="00C10EEE"/>
    <w:rsid w:val="00C31D5F"/>
    <w:rsid w:val="00C51A36"/>
    <w:rsid w:val="00C55228"/>
    <w:rsid w:val="00C63768"/>
    <w:rsid w:val="00C6411E"/>
    <w:rsid w:val="00C81231"/>
    <w:rsid w:val="00C86595"/>
    <w:rsid w:val="00CB74B8"/>
    <w:rsid w:val="00CD4A47"/>
    <w:rsid w:val="00CE315A"/>
    <w:rsid w:val="00D02D37"/>
    <w:rsid w:val="00D06F59"/>
    <w:rsid w:val="00D31B68"/>
    <w:rsid w:val="00D8388C"/>
    <w:rsid w:val="00DB5103"/>
    <w:rsid w:val="00DC61D4"/>
    <w:rsid w:val="00DF5A6B"/>
    <w:rsid w:val="00E006E2"/>
    <w:rsid w:val="00E6224C"/>
    <w:rsid w:val="00E71B06"/>
    <w:rsid w:val="00E92343"/>
    <w:rsid w:val="00E93FEF"/>
    <w:rsid w:val="00EB0164"/>
    <w:rsid w:val="00ED0F62"/>
    <w:rsid w:val="00F47F6D"/>
    <w:rsid w:val="00F9682A"/>
    <w:rsid w:val="00FE0F2C"/>
    <w:rsid w:val="00FF4874"/>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CC22C8"/>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6587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176D17"/>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6D4A74"/>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072DD0"/>
    <w:rsid w:val="3B227AA7"/>
    <w:rsid w:val="3B4241C0"/>
    <w:rsid w:val="3B5F0280"/>
    <w:rsid w:val="3BEE1D6F"/>
    <w:rsid w:val="3BF1473C"/>
    <w:rsid w:val="3CA475E5"/>
    <w:rsid w:val="3CA717F2"/>
    <w:rsid w:val="3CC56579"/>
    <w:rsid w:val="3DAB460B"/>
    <w:rsid w:val="3DB35DB9"/>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30619"/>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7BD673E"/>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1386B8C"/>
    <w:rsid w:val="72702455"/>
    <w:rsid w:val="728F2E47"/>
    <w:rsid w:val="72973011"/>
    <w:rsid w:val="72E42D1B"/>
    <w:rsid w:val="734F0911"/>
    <w:rsid w:val="736054C4"/>
    <w:rsid w:val="736C572D"/>
    <w:rsid w:val="73A422EB"/>
    <w:rsid w:val="73AF0100"/>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420" w:firstLine="744"/>
    </w:pPr>
    <w:rPr>
      <w:rFonts w:ascii="宋体" w:hAnsi="宋体"/>
      <w:szCs w:val="24"/>
    </w:rPr>
  </w:style>
  <w:style w:type="paragraph" w:styleId="4">
    <w:name w:val="Body Text Indent 2"/>
    <w:basedOn w:val="1"/>
    <w:link w:val="17"/>
    <w:uiPriority w:val="0"/>
    <w:pPr>
      <w:spacing w:line="380" w:lineRule="exact"/>
      <w:ind w:firstLine="560" w:firstLineChars="200"/>
    </w:pPr>
    <w:rPr>
      <w:color w:val="FF0000"/>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qFormat/>
    <w:uiPriority w:val="1"/>
    <w:pPr>
      <w:autoSpaceDE w:val="0"/>
      <w:autoSpaceDN w:val="0"/>
      <w:spacing w:line="340" w:lineRule="exact"/>
      <w:ind w:left="4"/>
      <w:jc w:val="left"/>
    </w:pPr>
    <w:rPr>
      <w:rFonts w:ascii="Noto Sans Mono CJK JP Regular" w:hAnsi="Noto Sans Mono CJK JP Regular" w:eastAsia="Noto Sans Mono CJK JP Regular" w:cs="Noto Sans Mono CJK JP Regular"/>
      <w:kern w:val="0"/>
      <w:sz w:val="22"/>
      <w:szCs w:val="22"/>
      <w:lang w:val="zh-CN" w:bidi="zh-CN"/>
    </w:rPr>
  </w:style>
  <w:style w:type="character" w:customStyle="1" w:styleId="17">
    <w:name w:val="正文文本缩进 2 字符"/>
    <w:link w:val="4"/>
    <w:uiPriority w:val="0"/>
    <w:rPr>
      <w:color w:val="FF0000"/>
      <w:kern w:val="2"/>
      <w:sz w:val="28"/>
    </w:rPr>
  </w:style>
  <w:style w:type="character" w:customStyle="1" w:styleId="18">
    <w:name w:val="正文文本缩进 2 Char1"/>
    <w:basedOn w:val="11"/>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1098</Words>
  <Characters>6260</Characters>
  <Lines>52</Lines>
  <Paragraphs>14</Paragraphs>
  <TotalTime>1</TotalTime>
  <ScaleCrop>false</ScaleCrop>
  <LinksUpToDate>false</LinksUpToDate>
  <CharactersWithSpaces>7344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2022-07-19T04:21:00Z</dcterms:created>
  <dc:creator>微软用户</dc:creator>
  <cp:lastModifiedBy>肖新龙</cp:lastModifiedBy>
  <dcterms:modified xsi:type="dcterms:W3CDTF">2022-08-10T15:04:41Z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FC12657E56D448E8AC64240A2E6B2740</vt:lpwstr>
  </property>
</Properties>
</file>