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018"/>
        <w:gridCol w:w="9330"/>
        <w:gridCol w:w="2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4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受审核部门：总工办       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廖第</w:t>
            </w:r>
            <w:r>
              <w:rPr>
                <w:rFonts w:hint="eastAsia"/>
                <w:sz w:val="24"/>
                <w:szCs w:val="24"/>
              </w:rPr>
              <w:t xml:space="preserve">     陪同人员： 黄琦淇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43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348" w:type="dxa"/>
            <w:gridSpan w:val="2"/>
            <w:vAlign w:val="center"/>
          </w:tcPr>
          <w:p>
            <w:pPr>
              <w:spacing w:before="120"/>
              <w:rPr>
                <w:rFonts w:hint="eastAsia"/>
                <w:color w:val="1D41D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审核员：肖新龙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EO兼Q专业支持，吴思彦：实习E，均为远程审核；</w:t>
            </w:r>
          </w:p>
          <w:p>
            <w:pPr>
              <w:spacing w:before="120"/>
              <w:rPr>
                <w:color w:val="1D41D5"/>
                <w:sz w:val="24"/>
                <w:szCs w:val="24"/>
              </w:rPr>
            </w:pP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【审核沟通方式：微信/电话/腾讯会议】</w:t>
            </w:r>
            <w:r>
              <w:rPr>
                <w:rFonts w:hint="eastAsia"/>
                <w:color w:val="1D41D5"/>
                <w:sz w:val="24"/>
                <w:szCs w:val="24"/>
              </w:rPr>
              <w:t xml:space="preserve">         审核日期：202</w:t>
            </w:r>
            <w:r>
              <w:rPr>
                <w:color w:val="1D41D5"/>
                <w:sz w:val="24"/>
                <w:szCs w:val="24"/>
              </w:rPr>
              <w:t>2</w:t>
            </w:r>
            <w:r>
              <w:rPr>
                <w:rFonts w:hint="eastAsia"/>
                <w:color w:val="1D41D5"/>
                <w:sz w:val="24"/>
                <w:szCs w:val="24"/>
              </w:rPr>
              <w:t>-</w:t>
            </w:r>
            <w:r>
              <w:rPr>
                <w:color w:val="1D41D5"/>
                <w:sz w:val="24"/>
                <w:szCs w:val="24"/>
              </w:rPr>
              <w:t>7</w:t>
            </w:r>
            <w:r>
              <w:rPr>
                <w:rFonts w:hint="eastAsia"/>
                <w:color w:val="1D41D5"/>
                <w:sz w:val="24"/>
                <w:szCs w:val="24"/>
              </w:rPr>
              <w:t>-</w:t>
            </w:r>
            <w:r>
              <w:rPr>
                <w:color w:val="1D41D5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843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034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sz w:val="24"/>
                <w:szCs w:val="24"/>
              </w:rPr>
              <w:t>E:5.3/6.1.2/6.1.4/6.2/8.1/8.2</w:t>
            </w:r>
          </w:p>
          <w:p>
            <w:pPr>
              <w:ind w:firstLine="1200" w:firstLineChars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O:5.3/6.1.2/6.1.4/6.2/8.1/8.2</w:t>
            </w:r>
          </w:p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1134" w:type="dxa"/>
            <w:vMerge w:val="restart"/>
            <w:shd w:val="clear" w:color="auto" w:fill="auto"/>
          </w:tcPr>
          <w:p>
            <w:pPr>
              <w:pStyle w:val="2"/>
            </w:pPr>
            <w:r>
              <w:rPr>
                <w:rFonts w:hint="eastAsia"/>
              </w:rPr>
              <w:t>E5.3</w:t>
            </w:r>
          </w:p>
          <w:p>
            <w:pPr>
              <w:pStyle w:val="2"/>
            </w:pPr>
            <w:r>
              <w:rPr>
                <w:rFonts w:hint="eastAsia"/>
              </w:rPr>
              <w:t>O5.3</w:t>
            </w:r>
          </w:p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3" w:type="dxa"/>
            <w:vMerge w:val="continue"/>
            <w:shd w:val="clear" w:color="auto" w:fill="auto"/>
          </w:tcPr>
          <w:p/>
        </w:tc>
        <w:tc>
          <w:tcPr>
            <w:tcW w:w="1134" w:type="dxa"/>
            <w:vMerge w:val="continue"/>
            <w:shd w:val="clear" w:color="auto" w:fill="auto"/>
          </w:tcPr>
          <w:p/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shd w:val="clear" w:color="auto" w:fill="auto"/>
          </w:tcPr>
          <w:p>
            <w:pPr>
              <w:spacing w:line="360" w:lineRule="auto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主要负责：按照项目工作安排完成检测任务，负责检测过程实施策划，负责适用设施设备、工作环境、监视测量资源、检测项目开发、检测过程执行、检测结果放行及检测过程质量控制等工作。并负责本部门涉及的环境和职业健康安全管理相关工作。</w:t>
            </w:r>
          </w:p>
          <w:p>
            <w:pPr>
              <w:pStyle w:val="2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远程视频询问审核周期内本部门岗位职责未发生变化。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1843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pStyle w:val="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E6.2</w:t>
            </w:r>
          </w:p>
          <w:p>
            <w:pPr>
              <w:pStyle w:val="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O6.2</w:t>
            </w:r>
          </w:p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《环境、职业目标达成统计表》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Merge w:val="continue"/>
            <w:shd w:val="clear" w:color="auto" w:fill="auto"/>
          </w:tcPr>
          <w:p/>
        </w:tc>
        <w:tc>
          <w:tcPr>
            <w:tcW w:w="1134" w:type="dxa"/>
            <w:vMerge w:val="continue"/>
            <w:shd w:val="clear" w:color="auto" w:fill="auto"/>
          </w:tcPr>
          <w:p/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组织建立了与方针一致的文件化的管理目标。为实现总管理目标而建立的各层级目标具体、有针对性、可测量并且可实现。</w:t>
            </w:r>
          </w:p>
          <w:p>
            <w:pPr>
              <w:pStyle w:val="7"/>
            </w:pPr>
          </w:p>
          <w:p>
            <w:r>
              <w:rPr>
                <w:rFonts w:hint="eastAsia"/>
              </w:rPr>
              <w:t>本部门分解目标实现情况的评价，及其测量方法是：</w:t>
            </w:r>
          </w:p>
          <w:tbl>
            <w:tblPr>
              <w:tblStyle w:val="8"/>
              <w:tblW w:w="499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4"/>
              <w:gridCol w:w="1246"/>
              <w:gridCol w:w="3118"/>
              <w:gridCol w:w="20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目标和指标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考核频次</w:t>
                  </w: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考核方式</w:t>
                  </w: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目标实际完成</w:t>
                  </w:r>
                </w:p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2021.7~2022.6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固体废弃物回收处置率  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月度</w:t>
                  </w:r>
                </w:p>
              </w:tc>
              <w:tc>
                <w:tcPr>
                  <w:tcW w:w="171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行政人事部月度统计</w:t>
                  </w:r>
                </w:p>
              </w:tc>
              <w:tc>
                <w:tcPr>
                  <w:tcW w:w="1137" w:type="pct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安全生产事故</w:t>
                  </w:r>
                  <w:r>
                    <w:rPr>
                      <w:sz w:val="18"/>
                      <w:szCs w:val="18"/>
                    </w:rPr>
                    <w:t>；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月度</w:t>
                  </w:r>
                </w:p>
              </w:tc>
              <w:tc>
                <w:tcPr>
                  <w:tcW w:w="171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行政人事部月度统计</w:t>
                  </w:r>
                </w:p>
              </w:tc>
              <w:tc>
                <w:tcPr>
                  <w:tcW w:w="1137" w:type="pct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火灾事故  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月度</w:t>
                  </w:r>
                </w:p>
              </w:tc>
              <w:tc>
                <w:tcPr>
                  <w:tcW w:w="171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行政人事部月度统计</w:t>
                  </w:r>
                </w:p>
              </w:tc>
              <w:tc>
                <w:tcPr>
                  <w:tcW w:w="1137" w:type="pct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意外伤害事故  0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月度</w:t>
                  </w:r>
                </w:p>
              </w:tc>
              <w:tc>
                <w:tcPr>
                  <w:tcW w:w="1714" w:type="pct"/>
                </w:tcPr>
                <w:p>
                  <w:pPr>
                    <w:spacing w:line="2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行政人事部月度统计</w:t>
                  </w:r>
                </w:p>
              </w:tc>
              <w:tc>
                <w:tcPr>
                  <w:tcW w:w="1137" w:type="pct"/>
                </w:tcPr>
                <w:p>
                  <w:pPr>
                    <w:spacing w:line="28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废水、废气、噪声 </w:t>
                  </w: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spacing w:line="28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月度</w:t>
                  </w:r>
                </w:p>
              </w:tc>
              <w:tc>
                <w:tcPr>
                  <w:tcW w:w="1714" w:type="pct"/>
                </w:tcPr>
                <w:p>
                  <w:pPr>
                    <w:spacing w:line="260" w:lineRule="exact"/>
                    <w:ind w:right="10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守法性证明或违规处理记录</w:t>
                  </w:r>
                </w:p>
              </w:tc>
              <w:tc>
                <w:tcPr>
                  <w:tcW w:w="1137" w:type="pct"/>
                </w:tcPr>
                <w:p>
                  <w:pPr>
                    <w:spacing w:line="28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464" w:type="pct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85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714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7" w:type="pct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目标已实现，</w:t>
            </w:r>
            <w:r>
              <w:rPr>
                <w:rFonts w:hint="eastAsia"/>
                <w:u w:val="single"/>
              </w:rPr>
              <w:t>2022年</w:t>
            </w: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>月之后目标在实施中，但针对目标管理不够明确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已与企业沟通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</w:t>
            </w:r>
          </w:p>
        </w:tc>
        <w:tc>
          <w:tcPr>
            <w:tcW w:w="10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手册第6.1条款、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《环境因素识别与评价控制程序》、</w:t>
            </w:r>
          </w:p>
        </w:tc>
        <w:tc>
          <w:tcPr>
            <w:tcW w:w="1418" w:type="dxa"/>
            <w:gridSpan w:val="2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8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</w:tcPr>
          <w:p>
            <w:r>
              <w:rPr>
                <w:rFonts w:hint="eastAsia"/>
              </w:rPr>
              <w:t>查看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《环境因素评价方法及评价标准》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《环境因素识别、评价、控制表》、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《重要环境因素清单》</w:t>
            </w:r>
          </w:p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责相关的主要环境因素及其控制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7"/>
              <w:gridCol w:w="2835"/>
              <w:gridCol w:w="38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主要环境因素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83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管理方案/应急预案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固体废弃物排放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噪声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管理方案/运行控制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废水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管理方案/运行控制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能源、资源消耗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管理方案/运行控制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vAlign w:val="center"/>
                </w:tcPr>
                <w:p>
                  <w:pPr>
                    <w:widowControl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38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/>
        </w:tc>
        <w:tc>
          <w:tcPr>
            <w:tcW w:w="141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  <w:szCs w:val="21"/>
              </w:rPr>
              <w:t>O6.1.2</w:t>
            </w:r>
          </w:p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30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szCs w:val="21"/>
              </w:rPr>
              <w:t xml:space="preserve">6.1 </w:t>
            </w:r>
            <w:r>
              <w:rPr>
                <w:rFonts w:hint="eastAsia"/>
              </w:rPr>
              <w:t>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《危险源辨识别和控制程序》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A8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9" w:hRule="atLeast"/>
        </w:trPr>
        <w:tc>
          <w:tcPr>
            <w:tcW w:w="1843" w:type="dxa"/>
            <w:vMerge w:val="continue"/>
            <w:shd w:val="clear" w:color="auto" w:fill="auto"/>
          </w:tcPr>
          <w:p/>
        </w:tc>
        <w:tc>
          <w:tcPr>
            <w:tcW w:w="1134" w:type="dxa"/>
            <w:vMerge w:val="continue"/>
            <w:shd w:val="clear" w:color="auto" w:fill="auto"/>
          </w:tcPr>
          <w:p/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30" w:type="dxa"/>
            <w:shd w:val="clear" w:color="auto" w:fill="auto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本部门的主要危险源包括：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（交通事故）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化学伤害：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食物中毒 </w:t>
            </w:r>
            <w:r>
              <w:t xml:space="preserve">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FE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冷热伤害：</w:t>
            </w:r>
            <w:r>
              <w:rPr>
                <w:rFonts w:hint="eastAsia"/>
              </w:rPr>
              <w:t xml:space="preserve">口烫伤 </w:t>
            </w:r>
            <w:r>
              <w:rPr/>
              <w:sym w:font="Wingdings" w:char="00FE"/>
            </w:r>
            <w:r>
              <w:rPr>
                <w:rFonts w:hint="eastAsia"/>
              </w:rPr>
              <w:t>中暑  口冻伤</w:t>
            </w:r>
          </w:p>
          <w:p>
            <w:r>
              <w:rPr>
                <w:rFonts w:hint="eastAsia"/>
                <w:szCs w:val="18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评价不可接受风险的准则：《</w:t>
            </w:r>
            <w:r>
              <w:rPr>
                <w:rFonts w:hint="eastAsia"/>
                <w:szCs w:val="22"/>
              </w:rPr>
              <w:t>危险源辨识别和控制程序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u w:val="single"/>
              </w:rPr>
              <w:t xml:space="preserve">LEC法  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重要危险源，及其控制措施是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8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984"/>
              <w:gridCol w:w="42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重要危险源/不可接受风险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职业健康安全风险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火灾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人身伤害、死亡</w:t>
                  </w:r>
                </w:p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群死群伤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应急预案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触电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人身伤害、死亡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机械伤害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人身伤害、致残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有限空间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人身伤害、火灾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职业病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中毒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人身伤害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意外伤害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人身伤害、死亡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目标指标及管理措施方案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中暑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人身伤害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管理方案</w:t>
                  </w:r>
                  <w:r>
                    <w:rPr>
                      <w:rFonts w:ascii="宋体" w:hAnsi="宋体" w:cs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运行控制</w:t>
                  </w:r>
                </w:p>
              </w:tc>
            </w:tr>
          </w:tbl>
          <w:p/>
        </w:tc>
        <w:tc>
          <w:tcPr>
            <w:tcW w:w="1418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4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EO6.1.4</w:t>
            </w:r>
          </w:p>
        </w:tc>
        <w:tc>
          <w:tcPr>
            <w:tcW w:w="10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0" w:type="dxa"/>
            <w:gridSpan w:val="2"/>
          </w:tcPr>
          <w:p>
            <w:pPr>
              <w:tabs>
                <w:tab w:val="center" w:pos="4567"/>
              </w:tabs>
            </w:pPr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《管理方案》（环境/职业健康安全）</w:t>
            </w:r>
            <w:r>
              <w:tab/>
            </w:r>
          </w:p>
        </w:tc>
        <w:tc>
          <w:tcPr>
            <w:tcW w:w="1398" w:type="dxa"/>
            <w:vMerge w:val="restart"/>
          </w:tcPr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8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0" w:type="dxa"/>
            <w:gridSpan w:val="2"/>
          </w:tcPr>
          <w:p>
            <w:r>
              <w:rPr>
                <w:rFonts w:hint="eastAsia"/>
              </w:rPr>
              <w:t>组织针对重要环境因素、合规义务、风险和机遇制订了控制措施（管理方案），抽查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8"/>
              <w:gridCol w:w="1728"/>
              <w:gridCol w:w="4266"/>
              <w:gridCol w:w="11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7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426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垃圾及固体废弃物的排放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4266" w:type="dxa"/>
                  <w:shd w:val="clear" w:color="auto" w:fill="auto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Cs w:val="21"/>
                    </w:rPr>
                    <w:t>制定固废处理措施：分类收集、存放；</w:t>
                  </w:r>
                </w:p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Cs w:val="21"/>
                    </w:rPr>
                    <w:t>定期检查处理情况是否符合规定；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3、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ab/>
                  </w:r>
                  <w:r>
                    <w:rPr>
                      <w:rFonts w:hint="eastAsia" w:ascii="宋体" w:hAnsi="宋体" w:cs="宋体"/>
                      <w:szCs w:val="21"/>
                    </w:rPr>
                    <w:t>指定存放位置并定期打扫；</w:t>
                  </w:r>
                </w:p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4、目标、指标管理方案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总工办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火灾事故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重要环境因素、</w:t>
                  </w: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2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1、行政人事部对人员进行培训</w:t>
                  </w:r>
                </w:p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2、办公场所、配电区设置禁烟警示标识；</w:t>
                  </w:r>
                </w:p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3、配备足够灭火器；</w:t>
                  </w:r>
                </w:p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4、对火灾进行应急预案演练</w:t>
                  </w:r>
                </w:p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5、定期检查，及时排除火灾隐患；</w:t>
                  </w:r>
                </w:p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、指标管理方案/应急预案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总工办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触电事故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spacing w:line="240" w:lineRule="exac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266" w:type="dxa"/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应急预案、《应急准备和响应程序》、目标、指标管理方案一览表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总工办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??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机械伤害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2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1．检测工具定期维护保养</w:t>
                  </w:r>
                </w:p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2.检测人员持证上岗</w:t>
                  </w:r>
                </w:p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3.配备必要的防护手套、安全帽等必要的防护用品</w:t>
                  </w:r>
                </w:p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  <w:szCs w:val="24"/>
                    </w:rPr>
                    <w:t>4.教育员工检测作业规范操作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总工办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中暑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不可接受风险</w:t>
                  </w:r>
                </w:p>
              </w:tc>
              <w:tc>
                <w:tcPr>
                  <w:tcW w:w="42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1.加强服务人员防暑用品发放</w:t>
                  </w:r>
                </w:p>
                <w:p>
                  <w:pPr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2.尽量减少高温时作业</w:t>
                  </w:r>
                </w:p>
                <w:p>
                  <w:pPr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3. 配备应急药箱,防暑降温措施</w:t>
                  </w:r>
                </w:p>
                <w:p>
                  <w:pPr>
                    <w:rPr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4、尽量错开峰在高温条件下作业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总工办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4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yellow"/>
                    </w:rPr>
                  </w:pPr>
                </w:p>
              </w:tc>
              <w:tc>
                <w:tcPr>
                  <w:tcW w:w="426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/>
        </w:tc>
        <w:tc>
          <w:tcPr>
            <w:tcW w:w="13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E8.1</w:t>
            </w:r>
          </w:p>
          <w:p>
            <w:pPr>
              <w:pStyle w:val="2"/>
            </w:pPr>
            <w:r>
              <w:rPr>
                <w:rFonts w:hint="eastAsia"/>
              </w:rPr>
              <w:t>O8.1</w:t>
            </w:r>
          </w:p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《废弃物管理程序》《资源能源控制程序》《职工健康管理程序》、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《设备操作规程》、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管理手册8.1条款、口《设备操作规程》、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《设备操作规程》</w:t>
            </w:r>
          </w:p>
        </w:tc>
        <w:tc>
          <w:tcPr>
            <w:tcW w:w="1398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" w:hRule="atLeast"/>
        </w:trPr>
        <w:tc>
          <w:tcPr>
            <w:tcW w:w="1843" w:type="dxa"/>
            <w:vMerge w:val="continue"/>
            <w:shd w:val="clear" w:color="auto" w:fill="auto"/>
          </w:tcPr>
          <w:p/>
        </w:tc>
        <w:tc>
          <w:tcPr>
            <w:tcW w:w="1134" w:type="dxa"/>
            <w:vMerge w:val="continue"/>
            <w:shd w:val="clear" w:color="auto" w:fill="auto"/>
          </w:tcPr>
          <w:p/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</w:rPr>
              <w:t>□设备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□技术要求（工艺）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抽取变更相关记录名称：</w:t>
            </w:r>
            <w:r>
              <w:rPr>
                <w:rFonts w:hint="eastAsia"/>
                <w:u w:val="single"/>
              </w:rPr>
              <w:t>《  审核周期内，无相关变更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398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43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 xml:space="preserve">E8.1  </w:t>
            </w:r>
          </w:p>
          <w:p>
            <w:pPr>
              <w:pStyle w:val="7"/>
              <w:ind w:left="0" w:firstLine="0" w:firstLineChars="0"/>
            </w:pPr>
            <w:r>
              <w:t>O8.1</w:t>
            </w:r>
          </w:p>
        </w:tc>
        <w:tc>
          <w:tcPr>
            <w:tcW w:w="10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0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《废弃物管理程序》《资源能源控制程序》《职工健康管理程序》、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《设备操作规程》、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管理手册8.1条款、口《设备操作规程》、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《设备操作规程》</w:t>
            </w:r>
          </w:p>
        </w:tc>
        <w:tc>
          <w:tcPr>
            <w:tcW w:w="139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7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8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0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组织在针对地下管线检测过程中进行环境因素和危险源的控制：</w:t>
            </w:r>
          </w:p>
          <w:p>
            <w:pPr>
              <w:pStyle w:val="2"/>
            </w:pPr>
          </w:p>
          <w:p>
            <w:pPr>
              <w:widowControl/>
              <w:jc w:val="left"/>
            </w:pPr>
            <w:r>
              <w:rPr>
                <w:szCs w:val="21"/>
              </w:rPr>
              <w:t>地下管线检测</w:t>
            </w:r>
            <w:r>
              <w:rPr>
                <w:rFonts w:hint="eastAsia"/>
              </w:rPr>
              <w:t>流程：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《检验检测方法控制程序》、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《检验检测样品处置程序》、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《检验检测结果质量控制程序》、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《生产计划》：</w:t>
            </w:r>
          </w:p>
          <w:p>
            <w:r>
              <w:rPr>
                <w:rFonts w:hint="eastAsia"/>
              </w:rPr>
              <w:t>流程图：</w:t>
            </w:r>
          </w:p>
          <w:p>
            <w:pPr>
              <w:pStyle w:val="5"/>
              <w:rPr>
                <w:b/>
                <w:bCs/>
                <w:sz w:val="21"/>
                <w:szCs w:val="20"/>
              </w:rPr>
            </w:pPr>
            <w:r>
              <w:rPr>
                <w:rFonts w:hint="eastAsia"/>
                <w:b/>
                <w:bCs/>
                <w:sz w:val="21"/>
                <w:szCs w:val="20"/>
              </w:rPr>
              <w:t>收集资料-现场踏勘-检测准备-检测作业-编制报告-报告审核与批准-报告提交</w:t>
            </w:r>
          </w:p>
          <w:p>
            <w:pPr>
              <w:pStyle w:val="5"/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询问检测过程废水是否含有一类污染物，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 w:ascii="宋体" w:hAnsi="宋体" w:cs="宋体"/>
              </w:rPr>
              <w:t>无</w:t>
            </w:r>
            <w:r>
              <w:rPr>
                <w:rFonts w:hint="eastAsia"/>
              </w:rPr>
              <w:t xml:space="preserve"> □有，说明：（以现场检测为主，无废水排放）</w:t>
            </w:r>
          </w:p>
          <w:p>
            <w:r>
              <w:rPr>
                <w:rFonts w:hint="eastAsia"/>
              </w:rPr>
              <w:t xml:space="preserve">□检测室/口食堂/车间处理方式：□循环使用 □排入公司内部污水处理站口经隔油池后，统一排入市政污水管网  □车间排口处理 </w:t>
            </w:r>
          </w:p>
          <w:p>
            <w:r>
              <w:rPr>
                <w:rFonts w:hint="eastAsia"/>
              </w:rPr>
              <w:t>查看□检测室/车间污水处理记录（适用时）（不适用）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620" w:type="dxa"/>
                </w:tcPr>
                <w:p/>
              </w:tc>
              <w:tc>
                <w:tcPr>
                  <w:tcW w:w="1364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</w:tbl>
          <w:p>
            <w:pPr>
              <w:pStyle w:val="7"/>
            </w:pPr>
          </w:p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检测过程 口食堂口生产车间是否有废气排放，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无 □有，说明：。</w:t>
            </w:r>
          </w:p>
          <w:p>
            <w:r>
              <w:rPr>
                <w:rFonts w:hint="eastAsia"/>
              </w:rPr>
              <w:t>说明：（不适用）</w:t>
            </w:r>
          </w:p>
          <w:p>
            <w:r>
              <w:rPr>
                <w:rFonts w:hint="eastAsia"/>
              </w:rPr>
              <w:t>□粉尘 □酸性气体，□碱性气体 □VOC  □有机气体</w:t>
            </w:r>
          </w:p>
          <w:p/>
          <w:p>
            <w:r>
              <w:rPr>
                <w:rFonts w:hint="eastAsia"/>
              </w:rPr>
              <w:t>查看□检测室/车间废气处理记录（适用时），（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41" w:type="dxa"/>
                </w:tcPr>
                <w:p>
                  <w:r>
                    <w:rPr>
                      <w:rFonts w:hint="eastAsia"/>
                    </w:rPr>
                    <w:t>废气所含物质</w:t>
                  </w:r>
                </w:p>
              </w:tc>
              <w:tc>
                <w:tcPr>
                  <w:tcW w:w="1115" w:type="dxa"/>
                </w:tcPr>
                <w:p>
                  <w:r>
                    <w:rPr>
                      <w:rFonts w:hint="eastAsia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r>
                    <w:rPr>
                      <w:rFonts w:hint="eastAsia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/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/>
              </w:tc>
              <w:tc>
                <w:tcPr>
                  <w:tcW w:w="1541" w:type="dxa"/>
                </w:tcPr>
                <w:p/>
              </w:tc>
              <w:tc>
                <w:tcPr>
                  <w:tcW w:w="1115" w:type="dxa"/>
                </w:tcPr>
                <w:p/>
              </w:tc>
              <w:tc>
                <w:tcPr>
                  <w:tcW w:w="1680" w:type="dxa"/>
                </w:tcPr>
                <w:p/>
              </w:tc>
              <w:tc>
                <w:tcPr>
                  <w:tcW w:w="1566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□合格 □不合格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生产加工间/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检测场所 </w:t>
            </w:r>
            <w:r>
              <w:t xml:space="preserve"> </w:t>
            </w:r>
            <w:r>
              <w:rPr>
                <w:rFonts w:hint="eastAsia"/>
              </w:rPr>
              <w:t xml:space="preserve">口食堂/餐厅/口生产车间是否有较大噪声排放， </w:t>
            </w:r>
            <w: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有（检测时有噪声，检测设备定期保养检修；减少夜间及午休时间作业；维护工具定期保养检修） ；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无</w:t>
            </w:r>
          </w:p>
          <w:p>
            <w:r>
              <w:rPr>
                <w:rFonts w:hint="eastAsia"/>
              </w:rPr>
              <w:t>说明：口设备运转 □压缩空气 □锻造 □其他</w:t>
            </w:r>
          </w:p>
          <w:p>
            <w:r>
              <w:rPr>
                <w:rFonts w:hint="eastAsia"/>
              </w:rPr>
              <w:t>询问减少噪声排放的措施：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设备正常运转 □压缩空气 □锻造 □其他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询问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生产加工间/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检测场所 </w:t>
            </w:r>
            <w:r>
              <w:t xml:space="preserve"> </w:t>
            </w:r>
            <w:r>
              <w:rPr>
                <w:rFonts w:hint="eastAsia"/>
              </w:rPr>
              <w:t xml:space="preserve">口食堂/餐厅/口生产车间是否使用危险化学品，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危化品的特性：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查看相关MSDS或告知牌的发放和使用情况，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不合格（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不涉及）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生产加工间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检测场所 </w:t>
            </w:r>
            <w:r>
              <w:t xml:space="preserve"> </w:t>
            </w:r>
            <w:r>
              <w:rPr>
                <w:rFonts w:hint="eastAsia"/>
              </w:rPr>
              <w:t xml:space="preserve">口食堂/生产车间（库房）  </w:t>
            </w:r>
            <w: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危化品管理的情况：（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1192"/>
              <w:gridCol w:w="1135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105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危化品名称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是否有MSDS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危害特性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控制措施要求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措施落实情况</w:t>
                  </w:r>
                </w:p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5" w:type="dxa"/>
                  <w:shd w:val="clear" w:color="auto" w:fill="auto"/>
                </w:tcPr>
                <w:p/>
              </w:tc>
              <w:tc>
                <w:tcPr>
                  <w:tcW w:w="1192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口易燃   口易爆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/>
              </w:tc>
              <w:tc>
                <w:tcPr>
                  <w:tcW w:w="1566" w:type="dxa"/>
                  <w:shd w:val="clear" w:color="auto" w:fill="auto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5" w:type="dxa"/>
                  <w:shd w:val="clear" w:color="auto" w:fill="auto"/>
                </w:tcPr>
                <w:p/>
              </w:tc>
              <w:tc>
                <w:tcPr>
                  <w:tcW w:w="1192" w:type="dxa"/>
                  <w:shd w:val="clear" w:color="auto" w:fill="auto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口易腐蚀</w:t>
                  </w:r>
                </w:p>
                <w:p>
                  <w:r>
                    <w:rPr>
                      <w:rFonts w:hint="eastAsia"/>
                    </w:rPr>
                    <w:t>口有害</w:t>
                  </w:r>
                </w:p>
              </w:tc>
              <w:tc>
                <w:tcPr>
                  <w:tcW w:w="2049" w:type="dxa"/>
                  <w:shd w:val="clear" w:color="auto" w:fill="auto"/>
                </w:tcPr>
                <w:p/>
              </w:tc>
              <w:tc>
                <w:tcPr>
                  <w:tcW w:w="1566" w:type="dxa"/>
                  <w:shd w:val="clear" w:color="auto" w:fill="auto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5" w:type="dxa"/>
                  <w:shd w:val="clear" w:color="auto" w:fill="auto"/>
                </w:tcPr>
                <w:p/>
              </w:tc>
              <w:tc>
                <w:tcPr>
                  <w:tcW w:w="1192" w:type="dxa"/>
                  <w:shd w:val="clear" w:color="auto" w:fill="auto"/>
                </w:tcPr>
                <w:p/>
              </w:tc>
              <w:tc>
                <w:tcPr>
                  <w:tcW w:w="1135" w:type="dxa"/>
                  <w:shd w:val="clear" w:color="auto" w:fill="auto"/>
                </w:tcPr>
                <w:p/>
              </w:tc>
              <w:tc>
                <w:tcPr>
                  <w:tcW w:w="2049" w:type="dxa"/>
                  <w:shd w:val="clear" w:color="auto" w:fill="auto"/>
                </w:tcPr>
                <w:p/>
              </w:tc>
              <w:tc>
                <w:tcPr>
                  <w:tcW w:w="1566" w:type="dxa"/>
                  <w:shd w:val="clear" w:color="auto" w:fill="auto"/>
                </w:tcPr>
                <w:p/>
              </w:tc>
              <w:tc>
                <w:tcPr>
                  <w:tcW w:w="204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</w:tc>
        <w:tc>
          <w:tcPr>
            <w:tcW w:w="13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18" w:type="dxa"/>
          </w:tcPr>
          <w:p>
            <w:r>
              <w:rPr>
                <w:rFonts w:hint="eastAsia"/>
              </w:rPr>
              <w:t>视频巡视</w:t>
            </w:r>
          </w:p>
        </w:tc>
        <w:tc>
          <w:tcPr>
            <w:tcW w:w="9350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巡视设备的完好情况（有无跑冒滴漏的现象）。□是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 w:ascii="宋体" w:hAnsi="宋体" w:cs="宋体"/>
              </w:rPr>
              <w:t>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巡视生产/服务对危险废弃物的管理情况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</w:rPr>
              <w:t>【不适用】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巡视关键岗位人员是否按操作要求进行操作。 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/>
              </w:rPr>
              <w:t xml:space="preserve">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巡视抽样询问关键岗位人员是否熟悉按操作要求   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/>
              </w:rPr>
              <w:t xml:space="preserve">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巡视与环境有关的的控制参数是否按操作要求进行操作。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/>
              </w:rPr>
              <w:t xml:space="preserve">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巡视是否使用了经校准的与环境、安全有关的监视测量设备。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巡视检测</w:t>
            </w:r>
            <w:r>
              <w:rPr>
                <w:rFonts w:hint="eastAsia"/>
                <w:strike/>
              </w:rPr>
              <w:t>/生产/烹饪/</w:t>
            </w:r>
            <w:r>
              <w:rPr>
                <w:rFonts w:hint="eastAsia"/>
              </w:rPr>
              <w:t xml:space="preserve">服务的安全装置的完好情况            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/>
              </w:rPr>
              <w:t xml:space="preserve"> □否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抽样询问关键岗位人员是否按要求佩戴劳保用品  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是（安全帽、安全背心等劳保用品） □否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u w:val="single"/>
              </w:rPr>
              <w:t>巡视消防设施的完好情况和日常检查情况，抽查灭火器及点检等信息，基本符合。</w:t>
            </w:r>
          </w:p>
        </w:tc>
        <w:tc>
          <w:tcPr>
            <w:tcW w:w="13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43" w:type="dxa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/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视频巡视</w:t>
            </w:r>
          </w:p>
        </w:tc>
        <w:tc>
          <w:tcPr>
            <w:tcW w:w="9350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视频巡视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检测场所/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strike/>
              </w:rPr>
              <w:t>生产车间/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库房的现场管理</w:t>
            </w:r>
            <w:r>
              <w:rPr>
                <w:rFonts w:hint="eastAsia"/>
                <w:lang w:eastAsia="zh-CN"/>
              </w:rPr>
              <w:t>：【</w:t>
            </w:r>
            <w:r>
              <w:rPr>
                <w:rFonts w:hint="eastAsia"/>
                <w:lang w:val="en-US" w:eastAsia="zh-CN"/>
              </w:rPr>
              <w:t>库房未配置灭火器、已与企业沟通</w:t>
            </w:r>
            <w:r>
              <w:rPr>
                <w:rFonts w:hint="eastAsia"/>
                <w:lang w:eastAsia="zh-CN"/>
              </w:rPr>
              <w:t>】</w:t>
            </w:r>
          </w:p>
          <w:p>
            <w:pPr>
              <w:spacing w:line="360" w:lineRule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危化品的保管：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不合格，说明：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不适用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MSDS的配备：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齐全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不齐全，说明：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>不适用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通风处的完好：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劳保用品的准备：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安全帽/安全背心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口罩、手套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围裙、帽子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目镜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防毒面罩</w:t>
            </w:r>
          </w:p>
          <w:p>
            <w:pPr>
              <w:spacing w:line="360" w:lineRule="auto"/>
              <w:ind w:firstLine="1050" w:firstLineChars="5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防酸碱手套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防护服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消防器材：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完好（抽查灭火器基本符合）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>
            <w:pPr>
              <w:spacing w:line="360" w:lineRule="auto"/>
            </w:pPr>
            <w:r>
              <w:rPr>
                <w:rFonts w:hint="eastAsia"/>
                <w:u w:val="single"/>
                <w:lang w:val="en-US" w:eastAsia="zh-CN"/>
              </w:rPr>
              <w:t>临时办公场所【广州市南沙区南沙街进港大道581号219房】，消防器材管理主要由物业进行管理。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>
            <w:pPr>
              <w:pStyle w:val="7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43" w:type="dxa"/>
            <w:shd w:val="clear" w:color="auto" w:fill="auto"/>
          </w:tcPr>
          <w:p/>
        </w:tc>
        <w:tc>
          <w:tcPr>
            <w:tcW w:w="1134" w:type="dxa"/>
            <w:shd w:val="clear" w:color="auto" w:fill="auto"/>
          </w:tcPr>
          <w:p/>
        </w:tc>
        <w:tc>
          <w:tcPr>
            <w:tcW w:w="1018" w:type="dxa"/>
            <w:shd w:val="clear" w:color="auto" w:fill="auto"/>
          </w:tcPr>
          <w:p>
            <w:r>
              <w:rPr>
                <w:rFonts w:hint="eastAsia"/>
              </w:rPr>
              <w:t>视频巡视</w:t>
            </w:r>
          </w:p>
        </w:tc>
        <w:tc>
          <w:tcPr>
            <w:tcW w:w="9350" w:type="dxa"/>
            <w:gridSpan w:val="2"/>
            <w:shd w:val="clear" w:color="auto" w:fill="auto"/>
          </w:tcPr>
          <w:p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口配电室管理（不涉及）：</w:t>
            </w:r>
            <w:r>
              <w:rPr>
                <w:rFonts w:hint="eastAsia"/>
                <w:u w:val="single"/>
              </w:rPr>
              <w:t>不涉及临时电作业管理、抽堵盲板、倒闸作业管理、空压站管理等。</w:t>
            </w:r>
          </w:p>
          <w:p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查看检测现场：对水电气等使用情况由总工办报</w:t>
            </w:r>
            <w:r>
              <w:rPr>
                <w:rFonts w:hint="eastAsia"/>
                <w:u w:val="single"/>
                <w:lang w:eastAsia="zh-CN"/>
              </w:rPr>
              <w:t>行政人事部</w:t>
            </w:r>
            <w:r>
              <w:rPr>
                <w:rFonts w:hint="eastAsia"/>
                <w:u w:val="single"/>
              </w:rPr>
              <w:t>每月进行统计。</w:t>
            </w:r>
          </w:p>
          <w:p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突发火灾：主要可能原因是电器故障和消防设施失效。主要是要求操作人员按照工艺和操作规范执行烹饪，现场询问操作人员如何防范火灾，基本能回答。</w:t>
            </w:r>
          </w:p>
          <w:p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外部检测现场一般摆放有 “注意安全”等警示标识，或由专人做好瞭望和警戒。本次在园区内部，</w:t>
            </w:r>
            <w:r>
              <w:rPr>
                <w:rFonts w:hint="eastAsia"/>
                <w:u w:val="single"/>
                <w:lang w:val="en-US" w:eastAsia="zh-CN"/>
              </w:rPr>
              <w:t>园区不允许设置</w:t>
            </w:r>
            <w:r>
              <w:rPr>
                <w:rFonts w:hint="eastAsia"/>
                <w:u w:val="single"/>
              </w:rPr>
              <w:t>警示标识，</w:t>
            </w:r>
            <w:r>
              <w:rPr>
                <w:rFonts w:hint="eastAsia"/>
                <w:u w:val="single"/>
                <w:lang w:val="en-US" w:eastAsia="zh-CN"/>
              </w:rPr>
              <w:t>在检测期间</w:t>
            </w:r>
            <w:r>
              <w:rPr>
                <w:rFonts w:hint="eastAsia"/>
                <w:u w:val="single"/>
              </w:rPr>
              <w:t>由专人做好瞭望和警戒</w:t>
            </w:r>
            <w:r>
              <w:rPr>
                <w:rFonts w:hint="eastAsia"/>
                <w:u w:val="single"/>
                <w:lang w:val="en-US" w:eastAsia="zh-CN"/>
              </w:rPr>
              <w:t>工作，视频巡视基本符合</w:t>
            </w:r>
            <w:r>
              <w:rPr>
                <w:rFonts w:hint="eastAsia"/>
                <w:u w:val="single"/>
              </w:rPr>
              <w:t>。</w:t>
            </w:r>
          </w:p>
          <w:p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涉及总工办的火灾事故应急预案、触电事故应急预案、突发治安伤害应急预案、交通事故应急预案、《中暑事故应急预案》、《传染病疫情应急预案》。方法措施/技术手段主要是应急预案/演练、规范操作、定期巡检等，通过日常管理完成，总工办主要负责配合公司</w:t>
            </w:r>
            <w:r>
              <w:rPr>
                <w:rFonts w:hint="eastAsia"/>
                <w:u w:val="single"/>
                <w:lang w:eastAsia="zh-CN"/>
              </w:rPr>
              <w:t>行政人事部</w:t>
            </w:r>
            <w:r>
              <w:rPr>
                <w:rFonts w:hint="eastAsia"/>
                <w:u w:val="single"/>
              </w:rPr>
              <w:t>做好各项工作。</w:t>
            </w:r>
          </w:p>
          <w:p>
            <w:pPr>
              <w:pStyle w:val="7"/>
              <w:ind w:left="0" w:firstLine="0" w:firstLineChars="0"/>
            </w:pPr>
          </w:p>
        </w:tc>
        <w:tc>
          <w:tcPr>
            <w:tcW w:w="1398" w:type="dxa"/>
            <w:shd w:val="clear" w:color="auto" w:fill="auto"/>
          </w:tcPr>
          <w:p>
            <w:pPr>
              <w:pStyle w:val="7"/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3" w:type="dxa"/>
            <w:vMerge w:val="restart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E8.1</w:t>
            </w:r>
          </w:p>
        </w:tc>
        <w:tc>
          <w:tcPr>
            <w:tcW w:w="10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0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A8"/>
            </w:r>
            <w:r>
              <w:rPr>
                <w:rFonts w:hint="eastAsia"/>
              </w:rPr>
              <w:t>《化学品管理控制程序》</w:t>
            </w:r>
            <w:r>
              <w:rPr/>
              <w:sym w:font="Wingdings" w:char="00A8"/>
            </w:r>
            <w:r>
              <w:rPr>
                <w:rFonts w:hint="eastAsia"/>
              </w:rPr>
              <w:t>《库房管理制度》（不涉及化学品仓库）、口《劳动保护用品管理制度》</w:t>
            </w:r>
          </w:p>
        </w:tc>
        <w:tc>
          <w:tcPr>
            <w:tcW w:w="139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/>
          <w:p/>
          <w:p/>
          <w:p>
            <w:pPr>
              <w:pStyle w:val="7"/>
              <w:ind w:left="0" w:firstLine="0" w:firstLineChars="0"/>
            </w:pPr>
          </w:p>
          <w:p>
            <w:pPr>
              <w:pStyle w:val="7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0" w:type="dxa"/>
            <w:gridSpan w:val="2"/>
          </w:tcPr>
          <w:p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化学品库       口化学品柜（不涉及）</w:t>
            </w:r>
          </w:p>
          <w:p/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防倒置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防日晒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温度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保存期限（部分）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其他——通风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  <w:p/>
        </w:tc>
        <w:tc>
          <w:tcPr>
            <w:tcW w:w="13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18" w:type="dxa"/>
          </w:tcPr>
          <w:p>
            <w:r>
              <w:rPr>
                <w:rFonts w:hint="eastAsia"/>
              </w:rPr>
              <w:t>视频巡视</w:t>
            </w:r>
          </w:p>
        </w:tc>
        <w:tc>
          <w:tcPr>
            <w:tcW w:w="9350" w:type="dxa"/>
            <w:gridSpan w:val="2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对剧毒品的管理：（不涉及）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目前的剧毒品名称：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危化品现场管理：抽查化学品名称：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有MSDS或告知卡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储存温度25℃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80 %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防渗漏报警措施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有保温措施</w:t>
            </w:r>
          </w:p>
          <w:p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双账簿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双锁（钥匙）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双人出库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专人负责出入库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危险废物现场管理：抽查危废品名称：</w:t>
            </w:r>
            <w:r>
              <w:rPr>
                <w:rFonts w:hint="eastAsia"/>
                <w:u w:val="single"/>
              </w:rPr>
              <w:t xml:space="preserve">   不涉及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分类存放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无MSDS或告知卡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防泄露措施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消防措施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存储量适宜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储存温度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湿度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防渗漏措施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现场查看对分区分架存放，有加贴标识，有防护措施；</w:t>
            </w:r>
            <w:r>
              <w:t xml:space="preserve"> </w:t>
            </w:r>
            <w:r>
              <w:rPr>
                <w:rFonts w:hint="eastAsia"/>
              </w:rPr>
              <w:t>（不涉及）</w:t>
            </w:r>
          </w:p>
        </w:tc>
        <w:tc>
          <w:tcPr>
            <w:tcW w:w="13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43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E8.2</w:t>
            </w:r>
          </w:p>
          <w:p>
            <w:pPr>
              <w:pStyle w:val="2"/>
            </w:pPr>
            <w:r>
              <w:rPr>
                <w:rFonts w:hint="eastAsia"/>
              </w:rPr>
              <w:t>O8.2</w:t>
            </w:r>
          </w:p>
        </w:tc>
        <w:tc>
          <w:tcPr>
            <w:tcW w:w="1018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350" w:type="dxa"/>
            <w:gridSpan w:val="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《应急准备和响应程序》、</w:t>
            </w:r>
            <w:r>
              <w:rPr/>
              <w:sym w:font="Wingdings" w:char="00FE"/>
            </w:r>
            <w:r>
              <w:rPr>
                <w:rFonts w:hint="eastAsia"/>
              </w:rPr>
              <w:t>各类应急预案、口《安全事故应急救援预案》</w:t>
            </w:r>
          </w:p>
        </w:tc>
        <w:tc>
          <w:tcPr>
            <w:tcW w:w="1398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18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18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350" w:type="dxa"/>
            <w:gridSpan w:val="2"/>
          </w:tcPr>
          <w:p>
            <w:r>
              <w:rPr>
                <w:rFonts w:hint="eastAsia"/>
              </w:rPr>
              <w:t>可能影响环境/职业健康安全事故和/或紧急情况的示例包括：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自然灾害 </w:t>
            </w:r>
            <w:r>
              <w:t xml:space="preserve">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环境事故 </w:t>
            </w:r>
            <w:r>
              <w:t xml:space="preserve">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生物恐怖主义 </w:t>
            </w:r>
            <w: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工作场所事故 </w:t>
            </w:r>
            <w:r>
              <w:t xml:space="preserve">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食品中毒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突发公共卫生事件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水的中断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电的中断 </w:t>
            </w:r>
            <w:r>
              <w:t xml:space="preserve">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本部门是否发生食品安全方面的应急的情况：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/>
          <w:p>
            <w:pPr>
              <w:pStyle w:val="7"/>
              <w:ind w:left="0" w:firstLine="0" w:firstLineChars="0"/>
            </w:pPr>
            <w:bookmarkStart w:id="0" w:name="_GoBack"/>
            <w:bookmarkEnd w:id="0"/>
            <w:r>
              <w:rPr>
                <w:rFonts w:hint="eastAsia"/>
              </w:rPr>
              <w:t>本部门是否发生环境方面的应急的情况：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本部门是否发生环境方面的应急演练：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59"/>
              <w:gridCol w:w="2398"/>
              <w:gridCol w:w="1529"/>
              <w:gridCol w:w="15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559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398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529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59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022.3.25</w:t>
                  </w:r>
                  <w:r>
                    <w:rPr>
                      <w:rFonts w:hint="eastAsia"/>
                    </w:rPr>
                    <w:t>消防演练</w:t>
                  </w:r>
                </w:p>
              </w:tc>
              <w:tc>
                <w:tcPr>
                  <w:tcW w:w="239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529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1557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59" w:type="dxa"/>
                </w:tcPr>
                <w:p/>
              </w:tc>
              <w:tc>
                <w:tcPr>
                  <w:tcW w:w="239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529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59" w:type="dxa"/>
                </w:tcPr>
                <w:p/>
              </w:tc>
              <w:tc>
                <w:tcPr>
                  <w:tcW w:w="239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529" w:type="dxa"/>
                </w:tcPr>
                <w:p/>
              </w:tc>
              <w:tc>
                <w:tcPr>
                  <w:tcW w:w="1557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每次演练后   </w:t>
            </w:r>
          </w:p>
          <w:p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    无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本部门是否发生职业健康安全方面的应急的情况：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r>
              <w:rPr>
                <w:rFonts w:hint="eastAsia"/>
              </w:rPr>
              <w:t>本部门是否发生职业健康安全方面的应急演练：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 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2268"/>
              <w:gridCol w:w="1701"/>
              <w:gridCol w:w="22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850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224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>
                  <w:pPr>
                    <w:pStyle w:val="2"/>
                  </w:pPr>
                  <w:r>
                    <w:rPr>
                      <w:rFonts w:hint="eastAsia"/>
                    </w:rPr>
                    <w:t>2</w:t>
                  </w:r>
                  <w:r>
                    <w:t>022.3.25</w:t>
                  </w:r>
                  <w:r>
                    <w:rPr>
                      <w:rFonts w:hint="eastAsia"/>
                    </w:rPr>
                    <w:t>消防演练</w:t>
                  </w: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火灾应急预案</w:t>
                  </w:r>
                </w:p>
              </w:tc>
              <w:tc>
                <w:tcPr>
                  <w:tcW w:w="2224" w:type="dxa"/>
                </w:tcPr>
                <w:p>
                  <w:r>
                    <w:rPr>
                      <w:rFonts w:hint="eastAsia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>
                  <w:pPr>
                    <w:pStyle w:val="2"/>
                  </w:pPr>
                </w:p>
              </w:tc>
              <w:tc>
                <w:tcPr>
                  <w:tcW w:w="2268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1701" w:type="dxa"/>
                </w:tcPr>
                <w:p/>
              </w:tc>
              <w:tc>
                <w:tcPr>
                  <w:tcW w:w="2224" w:type="dxa"/>
                </w:tcPr>
                <w:p/>
              </w:tc>
            </w:tr>
          </w:tbl>
          <w:p/>
        </w:tc>
        <w:tc>
          <w:tcPr>
            <w:tcW w:w="1398" w:type="dxa"/>
            <w:vMerge w:val="continue"/>
          </w:tcPr>
          <w:p/>
        </w:tc>
      </w:tr>
    </w:tbl>
    <w:p>
      <w:pPr>
        <w:pStyle w:val="5"/>
      </w:pP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-6350</wp:posOffset>
          </wp:positionV>
          <wp:extent cx="481330" cy="484505"/>
          <wp:effectExtent l="0" t="0" r="0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w:pict>
        <v:shape id="_x0000_s1025" o:spid="_x0000_s1025" o:spt="202" type="#_x0000_t202" style="position:absolute;left:0pt;margin-left:549.75pt;margin-top:1.15pt;height:20.2pt;width:172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I-12管理体系审核记录表(05版)</w:t>
                </w:r>
              </w:p>
              <w:p/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74254"/>
    <w:rsid w:val="000C6900"/>
    <w:rsid w:val="000D0B84"/>
    <w:rsid w:val="000E6B21"/>
    <w:rsid w:val="0010494C"/>
    <w:rsid w:val="001352BA"/>
    <w:rsid w:val="001A2D7F"/>
    <w:rsid w:val="001C4769"/>
    <w:rsid w:val="001E1BB4"/>
    <w:rsid w:val="00240DDA"/>
    <w:rsid w:val="00283F91"/>
    <w:rsid w:val="002939AD"/>
    <w:rsid w:val="002A31E9"/>
    <w:rsid w:val="00314AF6"/>
    <w:rsid w:val="00315538"/>
    <w:rsid w:val="00337922"/>
    <w:rsid w:val="00340867"/>
    <w:rsid w:val="00357CC0"/>
    <w:rsid w:val="00380837"/>
    <w:rsid w:val="003A198A"/>
    <w:rsid w:val="003B3080"/>
    <w:rsid w:val="00410914"/>
    <w:rsid w:val="004177C7"/>
    <w:rsid w:val="004417AB"/>
    <w:rsid w:val="00445E62"/>
    <w:rsid w:val="0048201E"/>
    <w:rsid w:val="00492C9F"/>
    <w:rsid w:val="0050077D"/>
    <w:rsid w:val="00536930"/>
    <w:rsid w:val="00564E53"/>
    <w:rsid w:val="005D5659"/>
    <w:rsid w:val="00600C20"/>
    <w:rsid w:val="006368EE"/>
    <w:rsid w:val="00642843"/>
    <w:rsid w:val="00644FE2"/>
    <w:rsid w:val="0067640C"/>
    <w:rsid w:val="006E678B"/>
    <w:rsid w:val="006E7B1D"/>
    <w:rsid w:val="00730C14"/>
    <w:rsid w:val="007363D0"/>
    <w:rsid w:val="007757F3"/>
    <w:rsid w:val="00797798"/>
    <w:rsid w:val="007B6044"/>
    <w:rsid w:val="007C1B48"/>
    <w:rsid w:val="007E3B15"/>
    <w:rsid w:val="007E6AEB"/>
    <w:rsid w:val="008314E2"/>
    <w:rsid w:val="008973EE"/>
    <w:rsid w:val="008A1091"/>
    <w:rsid w:val="008C7255"/>
    <w:rsid w:val="00907CF1"/>
    <w:rsid w:val="00941D1C"/>
    <w:rsid w:val="0095203F"/>
    <w:rsid w:val="00971600"/>
    <w:rsid w:val="009920B8"/>
    <w:rsid w:val="009973B4"/>
    <w:rsid w:val="009C28C1"/>
    <w:rsid w:val="009F7EED"/>
    <w:rsid w:val="00A14B61"/>
    <w:rsid w:val="00A44B00"/>
    <w:rsid w:val="00A73B1E"/>
    <w:rsid w:val="00A80636"/>
    <w:rsid w:val="00AF0AAB"/>
    <w:rsid w:val="00B041C5"/>
    <w:rsid w:val="00B977A5"/>
    <w:rsid w:val="00BB6ADA"/>
    <w:rsid w:val="00BD3188"/>
    <w:rsid w:val="00BD4069"/>
    <w:rsid w:val="00BE75F0"/>
    <w:rsid w:val="00BF597E"/>
    <w:rsid w:val="00C34F0E"/>
    <w:rsid w:val="00C51A36"/>
    <w:rsid w:val="00C55228"/>
    <w:rsid w:val="00C63768"/>
    <w:rsid w:val="00CE315A"/>
    <w:rsid w:val="00D06F59"/>
    <w:rsid w:val="00D8388C"/>
    <w:rsid w:val="00E6224C"/>
    <w:rsid w:val="00E75720"/>
    <w:rsid w:val="00EB0164"/>
    <w:rsid w:val="00EB3909"/>
    <w:rsid w:val="00EB69FD"/>
    <w:rsid w:val="00ED0F62"/>
    <w:rsid w:val="00EE73BA"/>
    <w:rsid w:val="00F537C9"/>
    <w:rsid w:val="00FB4533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007F0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542CD"/>
    <w:rsid w:val="059C20C3"/>
    <w:rsid w:val="05A05014"/>
    <w:rsid w:val="05AE43C7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485E6B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366A4B"/>
    <w:rsid w:val="0D4D1326"/>
    <w:rsid w:val="0D6A2C36"/>
    <w:rsid w:val="0D7B34FF"/>
    <w:rsid w:val="0D8538B0"/>
    <w:rsid w:val="0DB35CC0"/>
    <w:rsid w:val="0DD9585D"/>
    <w:rsid w:val="0E232E5B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956C2D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8B761E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3B3DB2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AC43C7"/>
    <w:rsid w:val="2AC8327F"/>
    <w:rsid w:val="2AD3142C"/>
    <w:rsid w:val="2B0D2F04"/>
    <w:rsid w:val="2B1D2572"/>
    <w:rsid w:val="2B206A2D"/>
    <w:rsid w:val="2B4C1179"/>
    <w:rsid w:val="2B5D0EFC"/>
    <w:rsid w:val="2B5E0541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5162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8D6661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D86EF9"/>
    <w:rsid w:val="3BEE1D6F"/>
    <w:rsid w:val="3BF1473C"/>
    <w:rsid w:val="3CA475E5"/>
    <w:rsid w:val="3CA717F2"/>
    <w:rsid w:val="3CC445CD"/>
    <w:rsid w:val="3CC56579"/>
    <w:rsid w:val="3CD55494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97DB4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C90CFC"/>
    <w:rsid w:val="48262DE5"/>
    <w:rsid w:val="485226C4"/>
    <w:rsid w:val="48757D56"/>
    <w:rsid w:val="48ED577E"/>
    <w:rsid w:val="495D1E4B"/>
    <w:rsid w:val="49912790"/>
    <w:rsid w:val="49C0281D"/>
    <w:rsid w:val="49E3211A"/>
    <w:rsid w:val="49E449BF"/>
    <w:rsid w:val="49EC77B8"/>
    <w:rsid w:val="49ED5B1C"/>
    <w:rsid w:val="4A59455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4C2F35"/>
    <w:rsid w:val="4F594843"/>
    <w:rsid w:val="4F88590D"/>
    <w:rsid w:val="503C3BCC"/>
    <w:rsid w:val="50C41CF1"/>
    <w:rsid w:val="51217DA6"/>
    <w:rsid w:val="51294703"/>
    <w:rsid w:val="51425A27"/>
    <w:rsid w:val="5158757E"/>
    <w:rsid w:val="516B41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E5C2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573C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0052E9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5E65A5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D16388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1F2379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15AB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9FA59F0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A82CAD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334A75"/>
    <w:rsid w:val="724D262A"/>
    <w:rsid w:val="72702455"/>
    <w:rsid w:val="728F2E47"/>
    <w:rsid w:val="72973011"/>
    <w:rsid w:val="72CD6505"/>
    <w:rsid w:val="72D43410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34B84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07BC9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A78D7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E41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16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7"/>
    <w:unhideWhenUsed/>
    <w:qFormat/>
    <w:uiPriority w:val="99"/>
    <w:pPr>
      <w:tabs>
        <w:tab w:val="left" w:pos="540"/>
      </w:tabs>
      <w:spacing w:after="0"/>
      <w:ind w:leftChars="0" w:firstLine="420" w:firstLineChars="200"/>
    </w:pPr>
    <w:rPr>
      <w:rFonts w:ascii="宋体" w:hAnsi="宋体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6">
    <w:name w:val="正文文本缩进 字符"/>
    <w:basedOn w:val="10"/>
    <w:link w:val="3"/>
    <w:semiHidden/>
    <w:qFormat/>
    <w:uiPriority w:val="99"/>
    <w:rPr>
      <w:kern w:val="2"/>
      <w:sz w:val="21"/>
    </w:rPr>
  </w:style>
  <w:style w:type="character" w:customStyle="1" w:styleId="17">
    <w:name w:val="正文文本首行缩进 2 字符"/>
    <w:basedOn w:val="16"/>
    <w:link w:val="7"/>
    <w:qFormat/>
    <w:uiPriority w:val="99"/>
    <w:rPr>
      <w:rFonts w:ascii="宋体" w:hAnsi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927</Words>
  <Characters>5284</Characters>
  <Lines>44</Lines>
  <Paragraphs>12</Paragraphs>
  <TotalTime>2</TotalTime>
  <ScaleCrop>false</ScaleCrop>
  <LinksUpToDate>false</LinksUpToDate>
  <CharactersWithSpaces>6199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2022-08-06T06:21:00Z</dcterms:created>
  <dc:creator>微软用户</dc:creator>
  <cp:lastModifiedBy>肖新龙</cp:lastModifiedBy>
  <dcterms:modified xsi:type="dcterms:W3CDTF">2022-08-09T14:43:58Z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564E2643B635411EBF29C7A2F4BFF3D3</vt:lpwstr>
  </property>
</Properties>
</file>