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受审核部门：湖北宜达鲜农副产品有限公司                陪同人员： </w:t>
            </w:r>
            <w:r>
              <w:rPr>
                <w:rFonts w:hint="eastAsia"/>
                <w:sz w:val="24"/>
                <w:lang w:val="en-US" w:eastAsia="zh-CN"/>
              </w:rPr>
              <w:t>秦建峰  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于立秋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/远程、电话、微信</w:t>
            </w:r>
            <w:bookmarkStart w:id="2" w:name="_GoBack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1" w:name="审核日期"/>
            <w:r>
              <w:rPr>
                <w:color w:val="000000"/>
              </w:rPr>
              <w:t>2022年07月1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日 上午至2022年07月1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遵守法律法规，确保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</w:t>
            </w:r>
            <w:r>
              <w:rPr>
                <w:rFonts w:hint="eastAsia"/>
                <w:color w:val="000000"/>
                <w:szCs w:val="18"/>
              </w:rPr>
              <w:t>质量，预防环境污染,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控制安全风险，实施持续改进，追求顾客满意。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产品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及时交付率100%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（产品及时交付数/产品交付总数）×100％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100%已完成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顾客满意度</w:t>
                  </w:r>
                  <w:r>
                    <w:rPr>
                      <w:rStyle w:val="17"/>
                      <w:lang w:val="en-US" w:eastAsia="zh-CN" w:bidi="ar"/>
                    </w:rPr>
                    <w:t>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（顾客满意度调查分数/满意度调查总分）×100％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92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固废分类回收处理率100%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分类次数/总处理次数×100%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100%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火灾、触电事故为0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8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交通事故为0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  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53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18"/>
              </w:rPr>
              <w:t>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sym w:font="Wingdings" w:char="00A8"/>
            </w:r>
            <w:r>
              <w:rPr>
                <w:rFonts w:hint="eastAsia"/>
                <w:color w:val="000000"/>
                <w:highlight w:val="yellow"/>
              </w:rPr>
              <w:t xml:space="preserve">消防栓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消防手动报警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>其他——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进行了火灾、触电、新冠肺炎的应急预案的演练并进行了评价。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污水处理站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锅炉房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高压配电室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低压配电室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空压站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制冷站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消防泵房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除尘装置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尾气处理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危化品库房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食堂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宿舍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班车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急停按钮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联锁装置 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光栅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消防手动报警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安全拉绳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口罩、手套、酒精、消毒液等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highlight w:val="yellow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 xml:space="preserve">较多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A8"/>
            </w:r>
            <w:r>
              <w:rPr>
                <w:rFonts w:hint="eastAsia"/>
                <w:color w:val="000000"/>
                <w:highlight w:val="yellow"/>
              </w:rPr>
              <w:t xml:space="preserve">很少   </w:t>
            </w: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>没有</w:t>
            </w:r>
          </w:p>
          <w:p>
            <w:pPr>
              <w:jc w:val="left"/>
              <w:rPr>
                <w:color w:val="000000"/>
                <w:highlight w:val="yellow"/>
              </w:rPr>
            </w:pPr>
          </w:p>
          <w:p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  <w:highlight w:val="yellow"/>
              </w:rPr>
            </w:pPr>
            <w:r>
              <w:rPr>
                <w:rFonts w:ascii="Wingdings" w:hAnsi="Wingdings"/>
                <w:color w:val="000000"/>
                <w:highlight w:val="yellow"/>
              </w:rPr>
              <w:t>¨</w:t>
            </w:r>
            <w:r>
              <w:rPr>
                <w:rFonts w:hint="eastAsia"/>
                <w:color w:val="000000"/>
                <w:highlight w:val="yellow"/>
              </w:rPr>
              <w:t xml:space="preserve">较多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A8"/>
            </w:r>
            <w:r>
              <w:rPr>
                <w:rFonts w:hint="eastAsia"/>
                <w:color w:val="000000"/>
                <w:highlight w:val="yellow"/>
              </w:rPr>
              <w:t xml:space="preserve">很少   </w:t>
            </w:r>
            <w:r>
              <w:rPr>
                <w:rFonts w:ascii="Wingdings" w:hAnsi="Wingdings"/>
                <w:color w:val="000000"/>
                <w:highlight w:val="yellow"/>
              </w:rPr>
              <w:sym w:font="Wingdings" w:char="00FE"/>
            </w:r>
            <w:r>
              <w:rPr>
                <w:rFonts w:hint="eastAsia"/>
                <w:color w:val="000000"/>
                <w:highlight w:val="yellow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000000"/>
    <w:rsid w:val="043B0CFF"/>
    <w:rsid w:val="05CE0532"/>
    <w:rsid w:val="08A92ADB"/>
    <w:rsid w:val="0F931DEF"/>
    <w:rsid w:val="10AD5132"/>
    <w:rsid w:val="13825653"/>
    <w:rsid w:val="14D95854"/>
    <w:rsid w:val="17E10D8A"/>
    <w:rsid w:val="17EE22B8"/>
    <w:rsid w:val="1A584F56"/>
    <w:rsid w:val="1A676352"/>
    <w:rsid w:val="1A9A29FC"/>
    <w:rsid w:val="1B9178E2"/>
    <w:rsid w:val="1BB05AD7"/>
    <w:rsid w:val="1BC82E20"/>
    <w:rsid w:val="1C7E0296"/>
    <w:rsid w:val="1DF148B0"/>
    <w:rsid w:val="1FF873E6"/>
    <w:rsid w:val="22396C74"/>
    <w:rsid w:val="22471C86"/>
    <w:rsid w:val="26C32B62"/>
    <w:rsid w:val="276E6F72"/>
    <w:rsid w:val="28175326"/>
    <w:rsid w:val="298C36DF"/>
    <w:rsid w:val="2A0B48B8"/>
    <w:rsid w:val="2ACC76A8"/>
    <w:rsid w:val="2EED2E72"/>
    <w:rsid w:val="318B450D"/>
    <w:rsid w:val="34F5482E"/>
    <w:rsid w:val="351564AD"/>
    <w:rsid w:val="359F7D8E"/>
    <w:rsid w:val="384A1526"/>
    <w:rsid w:val="39D5593F"/>
    <w:rsid w:val="39E05974"/>
    <w:rsid w:val="3D7D206B"/>
    <w:rsid w:val="3E086CB2"/>
    <w:rsid w:val="3E4C0E87"/>
    <w:rsid w:val="3E681246"/>
    <w:rsid w:val="40555BB9"/>
    <w:rsid w:val="433C297B"/>
    <w:rsid w:val="46942AF9"/>
    <w:rsid w:val="46BC37AF"/>
    <w:rsid w:val="474B4782"/>
    <w:rsid w:val="4924528A"/>
    <w:rsid w:val="4B3F0E3A"/>
    <w:rsid w:val="4B4E6E91"/>
    <w:rsid w:val="4BA52BB9"/>
    <w:rsid w:val="4E7239E5"/>
    <w:rsid w:val="500B0F52"/>
    <w:rsid w:val="505226DD"/>
    <w:rsid w:val="507C3BFE"/>
    <w:rsid w:val="54F07FC1"/>
    <w:rsid w:val="57572CCF"/>
    <w:rsid w:val="578F4443"/>
    <w:rsid w:val="597E2D83"/>
    <w:rsid w:val="59FC73C3"/>
    <w:rsid w:val="5A113609"/>
    <w:rsid w:val="5FC13798"/>
    <w:rsid w:val="607865C2"/>
    <w:rsid w:val="60D462BC"/>
    <w:rsid w:val="63F14685"/>
    <w:rsid w:val="642F3009"/>
    <w:rsid w:val="668B6E14"/>
    <w:rsid w:val="6A8A41D9"/>
    <w:rsid w:val="6C4048A2"/>
    <w:rsid w:val="70053689"/>
    <w:rsid w:val="71770865"/>
    <w:rsid w:val="71863EA0"/>
    <w:rsid w:val="728E2BC1"/>
    <w:rsid w:val="730C2768"/>
    <w:rsid w:val="77B4466E"/>
    <w:rsid w:val="77C80D25"/>
    <w:rsid w:val="79FF06C1"/>
    <w:rsid w:val="7DA84687"/>
    <w:rsid w:val="7FA06540"/>
    <w:rsid w:val="7FF94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2455</Words>
  <Characters>2529</Characters>
  <Lines>92</Lines>
  <Paragraphs>26</Paragraphs>
  <TotalTime>18</TotalTime>
  <ScaleCrop>false</ScaleCrop>
  <LinksUpToDate>false</LinksUpToDate>
  <CharactersWithSpaces>3013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2022-07-23T20:30:32Z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265BFB5E25AD43D3B4AD836C6BFD2955</vt:lpwstr>
  </property>
  <property fmtid="{D5CDD505-2E9C-101B-9397-08002B2CF9AE}" pid="3" name="KSOProductBuildVer">
    <vt:lpwstr>2052-11.1.0.11875</vt:lpwstr>
  </property>
</Properties>
</file>