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四川圣祥科技有限公司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叶丹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现场查看，未能提供外包方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lang w:val="en-US" w:eastAsia="zh-CN"/>
              </w:rPr>
              <w:t>四川金盾金属制品有限公司（表面处理）的相关评审证据。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组织应基于外部供方按照要求提供过程、产品和服务的能力，确定并实施对外部供方的评价、选择、绩效监视以及再评价的准则。对于这些活动和由评价引发的任何必要措施，组织应保留成文信息。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6802C75"/>
    <w:rsid w:val="32B607F4"/>
    <w:rsid w:val="32F26CA9"/>
    <w:rsid w:val="4013542A"/>
    <w:rsid w:val="62961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503</Words>
  <Characters>676</Characters>
  <Lines>6</Lines>
  <Paragraphs>1</Paragraphs>
  <TotalTime>1</TotalTime>
  <ScaleCrop>false</ScaleCrop>
  <LinksUpToDate>false</LinksUpToDate>
  <CharactersWithSpaces>939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2022-07-29T02:15:06Z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