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46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     主管领导：</w:t>
            </w:r>
            <w:r>
              <w:rPr>
                <w:rFonts w:hint="eastAsia" w:ascii="楷体" w:hAnsi="楷体" w:eastAsia="楷体"/>
                <w:sz w:val="24"/>
                <w:szCs w:val="24"/>
                <w:lang w:val="en-US" w:eastAsia="zh-CN"/>
              </w:rPr>
              <w:t>刘长洪</w:t>
            </w:r>
            <w:r>
              <w:rPr>
                <w:rFonts w:hint="eastAsia" w:ascii="楷体" w:hAnsi="楷体" w:eastAsia="楷体"/>
                <w:sz w:val="24"/>
                <w:szCs w:val="24"/>
              </w:rPr>
              <w:t xml:space="preserve">     陪同人员：</w:t>
            </w:r>
            <w:r>
              <w:rPr>
                <w:rFonts w:hint="eastAsia" w:ascii="楷体" w:hAnsi="楷体" w:eastAsia="楷体"/>
                <w:sz w:val="24"/>
                <w:szCs w:val="24"/>
                <w:lang w:val="en-US" w:eastAsia="zh-CN"/>
              </w:rPr>
              <w:t>兰晓敏</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46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2022.8.5</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464" w:type="dxa"/>
            <w:vAlign w:val="center"/>
          </w:tcPr>
          <w:p>
            <w:pPr>
              <w:rPr>
                <w:rFonts w:hint="default" w:ascii="楷体" w:hAnsi="楷体" w:eastAsia="宋体"/>
                <w:sz w:val="24"/>
                <w:szCs w:val="24"/>
                <w:lang w:val="en-US" w:eastAsia="zh-CN"/>
              </w:rPr>
            </w:pPr>
            <w:r>
              <w:rPr>
                <w:rFonts w:hint="eastAsia" w:ascii="楷体" w:hAnsi="楷体" w:eastAsia="楷体"/>
                <w:sz w:val="24"/>
                <w:szCs w:val="24"/>
              </w:rPr>
              <w:t>审核条款：</w:t>
            </w:r>
            <w:r>
              <w:rPr>
                <w:rFonts w:hint="eastAsia" w:ascii="宋体" w:hAnsi="宋体" w:cstheme="minorEastAsia"/>
                <w:sz w:val="21"/>
                <w:szCs w:val="21"/>
              </w:rPr>
              <w:t>EO：5.3/6.2/</w:t>
            </w:r>
            <w:r>
              <w:rPr>
                <w:rFonts w:hint="eastAsia" w:ascii="宋体" w:hAnsi="宋体" w:cstheme="minorEastAsia"/>
                <w:bCs/>
                <w:sz w:val="21"/>
                <w:szCs w:val="21"/>
              </w:rPr>
              <w:t>6.1.2/8.1</w:t>
            </w:r>
            <w:r>
              <w:rPr>
                <w:rFonts w:hint="eastAsia" w:ascii="宋体" w:hAnsi="宋体" w:cstheme="minorEastAsia"/>
                <w:sz w:val="21"/>
                <w:szCs w:val="21"/>
              </w:rPr>
              <w:t>/8.2；</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EO 5.3</w:t>
            </w:r>
          </w:p>
        </w:tc>
        <w:tc>
          <w:tcPr>
            <w:tcW w:w="10464" w:type="dxa"/>
          </w:tcPr>
          <w:p>
            <w:pPr>
              <w:spacing w:line="360" w:lineRule="auto"/>
              <w:rPr>
                <w:rFonts w:ascii="楷体" w:hAnsi="楷体" w:eastAsia="楷体"/>
                <w:sz w:val="24"/>
                <w:szCs w:val="24"/>
              </w:rPr>
            </w:pPr>
            <w:r>
              <w:rPr>
                <w:rFonts w:hint="eastAsia" w:ascii="楷体" w:hAnsi="楷体" w:eastAsia="楷体"/>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w:t>
            </w:r>
            <w:r>
              <w:rPr>
                <w:rFonts w:hint="eastAsia" w:ascii="楷体" w:hAnsi="楷体" w:eastAsia="楷体" w:cs="楷体"/>
                <w:sz w:val="24"/>
                <w:szCs w:val="24"/>
              </w:rPr>
              <w:t>产品检验，不合格品管理，</w:t>
            </w:r>
            <w:r>
              <w:rPr>
                <w:rFonts w:hint="eastAsia" w:ascii="楷体" w:hAnsi="楷体" w:eastAsia="楷体"/>
                <w:sz w:val="24"/>
                <w:szCs w:val="24"/>
              </w:rPr>
              <w:t>负责部门环境因素、危险源辨识和控制，负责生产过程运行的环境和安全控制，负责生产进度、现场工作环境和安全生产管理。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生产部上述作用和职责、权限基本得到有效沟通和实施。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EO:6.2</w:t>
            </w:r>
          </w:p>
        </w:tc>
        <w:tc>
          <w:tcPr>
            <w:tcW w:w="10464"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 xml:space="preserve">门目标：                 </w:t>
            </w:r>
          </w:p>
          <w:tbl>
            <w:tblPr>
              <w:tblStyle w:val="7"/>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3131"/>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ascii="楷体" w:hAnsi="楷体" w:eastAsia="楷体"/>
                      <w:szCs w:val="21"/>
                    </w:rPr>
                  </w:pPr>
                  <w:r>
                    <w:rPr>
                      <w:rFonts w:ascii="楷体" w:hAnsi="楷体" w:eastAsia="楷体"/>
                      <w:szCs w:val="21"/>
                    </w:rPr>
                    <w:t>部门</w:t>
                  </w:r>
                </w:p>
              </w:tc>
              <w:tc>
                <w:tcPr>
                  <w:tcW w:w="2906" w:type="dxa"/>
                </w:tcPr>
                <w:p>
                  <w:pPr>
                    <w:spacing w:line="220" w:lineRule="atLeast"/>
                    <w:jc w:val="center"/>
                    <w:rPr>
                      <w:rFonts w:ascii="楷体" w:hAnsi="楷体" w:eastAsia="楷体"/>
                      <w:szCs w:val="21"/>
                    </w:rPr>
                  </w:pPr>
                  <w:r>
                    <w:rPr>
                      <w:rFonts w:ascii="楷体" w:hAnsi="楷体" w:eastAsia="楷体"/>
                      <w:szCs w:val="21"/>
                    </w:rPr>
                    <w:t>目标</w:t>
                  </w:r>
                </w:p>
              </w:tc>
              <w:tc>
                <w:tcPr>
                  <w:tcW w:w="3131" w:type="dxa"/>
                </w:tcPr>
                <w:p>
                  <w:pPr>
                    <w:spacing w:line="220" w:lineRule="atLeast"/>
                    <w:jc w:val="center"/>
                    <w:rPr>
                      <w:rFonts w:ascii="楷体" w:hAnsi="楷体" w:eastAsia="楷体"/>
                      <w:szCs w:val="21"/>
                    </w:rPr>
                  </w:pPr>
                  <w:r>
                    <w:rPr>
                      <w:rFonts w:ascii="楷体" w:hAnsi="楷体" w:eastAsia="楷体"/>
                      <w:szCs w:val="21"/>
                    </w:rPr>
                    <w:t>考核方式</w:t>
                  </w:r>
                </w:p>
              </w:tc>
              <w:tc>
                <w:tcPr>
                  <w:tcW w:w="2242" w:type="dxa"/>
                </w:tcPr>
                <w:p>
                  <w:pPr>
                    <w:spacing w:line="220" w:lineRule="atLeast"/>
                    <w:jc w:val="center"/>
                    <w:rPr>
                      <w:rFonts w:ascii="楷体" w:hAnsi="楷体" w:eastAsia="楷体"/>
                      <w:szCs w:val="21"/>
                    </w:rPr>
                  </w:pPr>
                  <w:r>
                    <w:rPr>
                      <w:rFonts w:ascii="楷体" w:hAnsi="楷体" w:eastAsia="楷体"/>
                      <w:szCs w:val="21"/>
                    </w:rPr>
                    <w:t>考核结果</w:t>
                  </w:r>
                </w:p>
              </w:tc>
              <w:tc>
                <w:tcPr>
                  <w:tcW w:w="1138" w:type="dxa"/>
                </w:tcPr>
                <w:p>
                  <w:pPr>
                    <w:spacing w:line="220" w:lineRule="atLeast"/>
                    <w:jc w:val="center"/>
                    <w:rPr>
                      <w:rFonts w:ascii="楷体" w:hAnsi="楷体" w:eastAsia="楷体"/>
                      <w:szCs w:val="21"/>
                    </w:rPr>
                  </w:pPr>
                  <w:r>
                    <w:rPr>
                      <w:rFonts w:ascii="楷体" w:hAnsi="楷体" w:eastAsia="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restart"/>
                </w:tcPr>
                <w:p>
                  <w:pPr>
                    <w:spacing w:line="220" w:lineRule="atLeast"/>
                    <w:jc w:val="center"/>
                    <w:rPr>
                      <w:rFonts w:ascii="楷体" w:hAnsi="楷体" w:eastAsia="楷体"/>
                      <w:szCs w:val="21"/>
                    </w:rPr>
                  </w:pPr>
                </w:p>
              </w:tc>
              <w:tc>
                <w:tcPr>
                  <w:tcW w:w="2906" w:type="dxa"/>
                </w:tcPr>
                <w:p>
                  <w:pPr>
                    <w:rPr>
                      <w:rFonts w:ascii="楷体" w:hAnsi="楷体" w:eastAsia="楷体"/>
                      <w:szCs w:val="21"/>
                    </w:rPr>
                  </w:pPr>
                  <w:r>
                    <w:rPr>
                      <w:rFonts w:hint="eastAsia" w:ascii="楷体" w:hAnsi="楷体" w:eastAsia="楷体"/>
                      <w:color w:val="000000"/>
                      <w:szCs w:val="21"/>
                    </w:rPr>
                    <w:t>职业病发病为0</w:t>
                  </w:r>
                </w:p>
              </w:tc>
              <w:tc>
                <w:tcPr>
                  <w:tcW w:w="3131" w:type="dxa"/>
                </w:tcPr>
                <w:p>
                  <w:pPr>
                    <w:rPr>
                      <w:rFonts w:ascii="楷体" w:hAnsi="楷体" w:eastAsia="楷体"/>
                      <w:szCs w:val="21"/>
                    </w:rPr>
                  </w:pPr>
                  <w:r>
                    <w:rPr>
                      <w:rFonts w:hint="eastAsia" w:ascii="楷体" w:hAnsi="楷体" w:eastAsia="楷体"/>
                      <w:szCs w:val="21"/>
                    </w:rPr>
                    <w:t>查看职业健康体检报告</w:t>
                  </w:r>
                </w:p>
              </w:tc>
              <w:tc>
                <w:tcPr>
                  <w:tcW w:w="2242" w:type="dxa"/>
                </w:tcPr>
                <w:p>
                  <w:pPr>
                    <w:rPr>
                      <w:rFonts w:ascii="楷体" w:hAnsi="楷体" w:eastAsia="楷体"/>
                      <w:szCs w:val="21"/>
                    </w:rPr>
                  </w:pPr>
                  <w:r>
                    <w:rPr>
                      <w:rFonts w:hint="eastAsia" w:ascii="楷体" w:hAnsi="楷体" w:eastAsia="楷体"/>
                      <w:color w:val="000000"/>
                      <w:szCs w:val="21"/>
                    </w:rPr>
                    <w:t>没有发生职业病</w:t>
                  </w:r>
                </w:p>
              </w:tc>
              <w:tc>
                <w:tcPr>
                  <w:tcW w:w="1138" w:type="dxa"/>
                </w:tcPr>
                <w:p>
                  <w:pPr>
                    <w:jc w:val="center"/>
                    <w:rPr>
                      <w:rFonts w:ascii="楷体" w:hAnsi="楷体" w:eastAsia="楷体"/>
                      <w:szCs w:val="21"/>
                    </w:rPr>
                  </w:pPr>
                  <w:r>
                    <w:rPr>
                      <w:rFonts w:ascii="楷体" w:hAnsi="楷体" w:eastAsia="楷体"/>
                      <w:szCs w:val="21"/>
                    </w:rPr>
                    <w:t>已经完成</w:t>
                  </w:r>
                </w:p>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ascii="楷体" w:hAnsi="楷体" w:eastAsia="楷体"/>
                      <w:szCs w:val="21"/>
                    </w:rPr>
                  </w:pPr>
                </w:p>
              </w:tc>
              <w:tc>
                <w:tcPr>
                  <w:tcW w:w="2906" w:type="dxa"/>
                </w:tcPr>
                <w:p>
                  <w:pPr>
                    <w:rPr>
                      <w:rFonts w:ascii="楷体" w:hAnsi="楷体" w:eastAsia="楷体"/>
                      <w:szCs w:val="21"/>
                    </w:rPr>
                  </w:pPr>
                  <w:r>
                    <w:rPr>
                      <w:rFonts w:hint="eastAsia" w:ascii="楷体" w:hAnsi="楷体" w:eastAsia="楷体"/>
                      <w:szCs w:val="21"/>
                    </w:rPr>
                    <w:t>杜绝火灾、触电事故、高温灼伤、机械伤害   （火灾、触电、高温灼伤、机械伤害事故为0.）</w:t>
                  </w:r>
                  <w:r>
                    <w:rPr>
                      <w:rFonts w:hint="eastAsia" w:ascii="楷体" w:hAnsi="楷体" w:eastAsia="楷体"/>
                      <w:color w:val="000000"/>
                      <w:szCs w:val="21"/>
                    </w:rPr>
                    <w:t>；</w:t>
                  </w:r>
                </w:p>
              </w:tc>
              <w:tc>
                <w:tcPr>
                  <w:tcW w:w="3131" w:type="dxa"/>
                </w:tcPr>
                <w:p>
                  <w:pPr>
                    <w:rPr>
                      <w:rFonts w:ascii="楷体" w:hAnsi="楷体" w:eastAsia="楷体"/>
                      <w:szCs w:val="21"/>
                    </w:rPr>
                  </w:pPr>
                  <w:r>
                    <w:rPr>
                      <w:rFonts w:hint="eastAsia" w:ascii="楷体" w:hAnsi="楷体" w:eastAsia="楷体"/>
                      <w:szCs w:val="21"/>
                    </w:rPr>
                    <w:t>查看触电、火灾、</w:t>
                  </w:r>
                  <w:r>
                    <w:rPr>
                      <w:rFonts w:hint="eastAsia" w:ascii="楷体" w:hAnsi="楷体" w:eastAsia="楷体"/>
                      <w:color w:val="000000"/>
                      <w:szCs w:val="21"/>
                    </w:rPr>
                    <w:t>机械伤害、高空堕落</w:t>
                  </w:r>
                  <w:r>
                    <w:rPr>
                      <w:rFonts w:hint="eastAsia" w:ascii="楷体" w:hAnsi="楷体" w:eastAsia="楷体"/>
                      <w:szCs w:val="21"/>
                    </w:rPr>
                    <w:t>事故记录</w:t>
                  </w:r>
                </w:p>
                <w:p>
                  <w:pPr>
                    <w:rPr>
                      <w:rFonts w:ascii="楷体" w:hAnsi="楷体" w:eastAsia="楷体"/>
                      <w:szCs w:val="21"/>
                    </w:rPr>
                  </w:pPr>
                </w:p>
              </w:tc>
              <w:tc>
                <w:tcPr>
                  <w:tcW w:w="2242" w:type="dxa"/>
                </w:tcPr>
                <w:p>
                  <w:pPr>
                    <w:rPr>
                      <w:rFonts w:ascii="楷体" w:hAnsi="楷体" w:eastAsia="楷体"/>
                      <w:szCs w:val="21"/>
                    </w:rPr>
                  </w:pPr>
                  <w:r>
                    <w:rPr>
                      <w:rFonts w:hint="eastAsia" w:ascii="楷体" w:hAnsi="楷体" w:eastAsia="楷体"/>
                      <w:color w:val="000000"/>
                      <w:szCs w:val="21"/>
                    </w:rPr>
                    <w:t>没有发生火灾、触电、高温灼伤、机械伤害事故</w:t>
                  </w:r>
                </w:p>
              </w:tc>
              <w:tc>
                <w:tcPr>
                  <w:tcW w:w="1138" w:type="dxa"/>
                </w:tcPr>
                <w:p>
                  <w:pPr>
                    <w:jc w:val="center"/>
                    <w:rPr>
                      <w:rFonts w:ascii="楷体" w:hAnsi="楷体" w:eastAsia="楷体"/>
                      <w:szCs w:val="21"/>
                    </w:rPr>
                  </w:pPr>
                  <w:r>
                    <w:rPr>
                      <w:rFonts w:ascii="楷体" w:hAnsi="楷体" w:eastAsia="楷体"/>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ascii="楷体" w:hAnsi="楷体" w:eastAsia="楷体"/>
                      <w:szCs w:val="21"/>
                    </w:rPr>
                  </w:pPr>
                </w:p>
              </w:tc>
              <w:tc>
                <w:tcPr>
                  <w:tcW w:w="2906" w:type="dxa"/>
                </w:tcPr>
                <w:p>
                  <w:pPr>
                    <w:spacing w:line="220" w:lineRule="atLeast"/>
                    <w:rPr>
                      <w:rFonts w:ascii="楷体" w:hAnsi="楷体" w:eastAsia="楷体"/>
                      <w:szCs w:val="21"/>
                    </w:rPr>
                  </w:pPr>
                  <w:r>
                    <w:rPr>
                      <w:rFonts w:hint="eastAsia" w:ascii="楷体" w:hAnsi="楷体" w:eastAsia="楷体"/>
                      <w:szCs w:val="21"/>
                    </w:rPr>
                    <w:t>合理处置固体废弃物；</w:t>
                  </w:r>
                </w:p>
                <w:p>
                  <w:pPr>
                    <w:spacing w:line="220" w:lineRule="atLeast"/>
                    <w:rPr>
                      <w:rFonts w:ascii="楷体" w:hAnsi="楷体" w:eastAsia="楷体"/>
                      <w:szCs w:val="21"/>
                    </w:rPr>
                  </w:pPr>
                  <w:r>
                    <w:rPr>
                      <w:rFonts w:hint="eastAsia" w:ascii="楷体" w:hAnsi="楷体" w:eastAsia="楷体"/>
                      <w:szCs w:val="21"/>
                    </w:rPr>
                    <w:t>固废分类处置率100%；</w:t>
                  </w:r>
                </w:p>
              </w:tc>
              <w:tc>
                <w:tcPr>
                  <w:tcW w:w="3131" w:type="dxa"/>
                </w:tcPr>
                <w:p>
                  <w:pPr>
                    <w:rPr>
                      <w:rFonts w:ascii="楷体" w:hAnsi="楷体" w:eastAsia="楷体"/>
                      <w:szCs w:val="21"/>
                    </w:rPr>
                  </w:pPr>
                  <w:r>
                    <w:rPr>
                      <w:rFonts w:hint="eastAsia" w:ascii="楷体" w:hAnsi="楷体" w:eastAsia="楷体"/>
                      <w:szCs w:val="21"/>
                    </w:rPr>
                    <w:t>符合数量÷检查数量×</w:t>
                  </w:r>
                  <w:r>
                    <w:rPr>
                      <w:rFonts w:ascii="楷体" w:hAnsi="楷体" w:eastAsia="楷体"/>
                      <w:szCs w:val="21"/>
                    </w:rPr>
                    <w:t>100%</w:t>
                  </w:r>
                  <w:r>
                    <w:rPr>
                      <w:rFonts w:hint="eastAsia" w:ascii="楷体" w:hAnsi="楷体" w:eastAsia="楷体"/>
                      <w:szCs w:val="21"/>
                    </w:rPr>
                    <w:t>。</w:t>
                  </w:r>
                </w:p>
              </w:tc>
              <w:tc>
                <w:tcPr>
                  <w:tcW w:w="2242" w:type="dxa"/>
                </w:tcPr>
                <w:p>
                  <w:pPr>
                    <w:spacing w:line="220" w:lineRule="atLeast"/>
                    <w:rPr>
                      <w:rFonts w:ascii="楷体" w:hAnsi="楷体" w:eastAsia="楷体"/>
                      <w:szCs w:val="21"/>
                    </w:rPr>
                  </w:pPr>
                  <w:r>
                    <w:rPr>
                      <w:rFonts w:hint="eastAsia" w:ascii="楷体" w:hAnsi="楷体" w:eastAsia="楷体"/>
                      <w:szCs w:val="21"/>
                    </w:rPr>
                    <w:t>固废分类处置100%；</w:t>
                  </w:r>
                </w:p>
              </w:tc>
              <w:tc>
                <w:tcPr>
                  <w:tcW w:w="1138" w:type="dxa"/>
                </w:tcPr>
                <w:p>
                  <w:pPr>
                    <w:spacing w:line="220" w:lineRule="atLeast"/>
                    <w:jc w:val="center"/>
                    <w:rPr>
                      <w:rFonts w:ascii="楷体" w:hAnsi="楷体" w:eastAsia="楷体"/>
                      <w:szCs w:val="21"/>
                    </w:rPr>
                  </w:pPr>
                  <w:r>
                    <w:rPr>
                      <w:rFonts w:ascii="楷体" w:hAnsi="楷体" w:eastAsia="楷体"/>
                      <w:szCs w:val="21"/>
                    </w:rPr>
                    <w:t>已经完成</w:t>
                  </w:r>
                </w:p>
              </w:tc>
            </w:tr>
          </w:tbl>
          <w:p>
            <w:pPr>
              <w:spacing w:line="360" w:lineRule="auto"/>
              <w:rPr>
                <w:rFonts w:ascii="楷体" w:hAnsi="楷体" w:eastAsia="楷体"/>
                <w:sz w:val="24"/>
                <w:szCs w:val="24"/>
              </w:rPr>
            </w:pPr>
          </w:p>
          <w:p>
            <w:pPr>
              <w:spacing w:line="360" w:lineRule="auto"/>
              <w:rPr>
                <w:rFonts w:ascii="楷体" w:hAnsi="楷体" w:eastAsia="楷体" w:cs="Arial"/>
                <w:sz w:val="24"/>
                <w:szCs w:val="24"/>
              </w:rPr>
            </w:pPr>
            <w:r>
              <w:rPr>
                <w:rFonts w:hint="eastAsia" w:ascii="楷体" w:hAnsi="楷体" w:eastAsia="楷体"/>
                <w:sz w:val="24"/>
                <w:szCs w:val="24"/>
              </w:rPr>
              <w:t>考核情况：</w:t>
            </w:r>
            <w:r>
              <w:rPr>
                <w:rFonts w:hint="eastAsia" w:ascii="楷体" w:hAnsi="楷体" w:eastAsia="楷体"/>
                <w:sz w:val="24"/>
                <w:szCs w:val="24"/>
                <w:lang w:val="en-US" w:eastAsia="zh-CN"/>
              </w:rPr>
              <w:t>2022.6.30</w:t>
            </w:r>
            <w:r>
              <w:rPr>
                <w:rFonts w:hint="eastAsia" w:ascii="楷体" w:hAnsi="楷体" w:eastAsia="楷体"/>
                <w:sz w:val="24"/>
                <w:szCs w:val="24"/>
              </w:rPr>
              <w:t>日考核已完成。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046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现场提供了“环境因素登记及评价表”，识别了办公过程的废纸排放、生活垃圾排放、生产过程中噪音排放、废气排放、固废排放、火灾、能源消耗等，识别基本齐全。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评价出生产部的重要环境因素为：噪音排放、废气排放、固废排放、火灾发生等。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通过运行控制、除尘设施、管理方案、培训教育、应急预案等对重大环境因素实施控制，基本适宜，具体见E8.1条款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提供“危险源风险评价表”对部门生产办公活动各过程分别进行辨识，考虑了电力、通信、市政用塑料管及管件的生产过程的特点。</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生产部识别的危险源主要有：噪声伤害、触电、中暑、尘肺病、机械伤害、火灾事故等。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重大危险源识别有：火灾、触电、噪声伤害、粉尘伤害、</w:t>
            </w:r>
            <w:r>
              <w:rPr>
                <w:rFonts w:ascii="楷体" w:hAnsi="楷体" w:eastAsia="楷体"/>
                <w:sz w:val="24"/>
                <w:szCs w:val="24"/>
              </w:rPr>
              <w:t>高温灼伤</w:t>
            </w:r>
            <w:r>
              <w:rPr>
                <w:rFonts w:hint="eastAsia" w:ascii="楷体" w:hAnsi="楷体" w:eastAsia="楷体"/>
                <w:sz w:val="24"/>
                <w:szCs w:val="24"/>
              </w:rPr>
              <w:t>等。</w:t>
            </w:r>
          </w:p>
          <w:p>
            <w:pPr>
              <w:pStyle w:val="5"/>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通过运行控制、管理制度、劳动防护用品、培训教育、应急预案等对重大危险源实施控制，基本适宜，具体见O8.1条款。</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046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w:t>
            </w:r>
            <w:r>
              <w:rPr>
                <w:rFonts w:hint="eastAsia" w:ascii="楷体" w:hAnsi="楷体" w:eastAsia="楷体" w:cs="宋体"/>
                <w:sz w:val="24"/>
                <w:szCs w:val="24"/>
              </w:rPr>
              <w:t>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21"/>
              <w:rPr>
                <w:rFonts w:hint="eastAsia" w:ascii="楷体" w:hAnsi="楷体" w:eastAsia="楷体"/>
                <w:sz w:val="24"/>
                <w:szCs w:val="24"/>
              </w:rPr>
            </w:pPr>
            <w:r>
              <w:rPr>
                <w:rFonts w:hint="eastAsia" w:ascii="楷体" w:hAnsi="楷体" w:eastAsia="楷体"/>
                <w:sz w:val="24"/>
                <w:szCs w:val="24"/>
              </w:rPr>
              <w:t>产生的生活污水经城市污水管网排入东城区污水处理厂处理后达标排放,废水对环境产生的影响较小。生活污水中的餐饮废水经油水分离器处理后与其它生活污水排入东城区污水处理厂,处理后达标排放。</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(1)焊接烟尘</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焊接烟尘产生量为0.05/a,通过集气罩收集后,设置焊烟净化器处理后,再由15m高的排气筒处理后排放,净化效率为90%。厂界浓度满足《大气污染物综合排放标准》 (GB16297-1996)表2中排放标准限值.</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（2） TVOC</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TVOC产生量为0.4a, TVOC经活性炭吸附装置处理后由15m高排气简排放,处理效率为98%,风机的排风量为1000m'hn,则非TVOC排放量为0.sa., 排放浓度为6.7mg/m'.满足《大气污染物综合排放标准》 (GB16297-1996)表2中二级标准限值。</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(3)漆雾（颗粒物)</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产生的漆雾为颗粒物,本项目漆落由多层过滤棉净化后通过活性炭吸附装置处理后,再经过15m高排气简高空排放。风机的排风量为1000mh,漆雾净化效率为98%,则颗粒物的排放量为0.000s a,满足《大气污染物综合排放标准》(GB16297-1996)表2中二级标准限值。</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(4)切割粉尘</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在切割工序中会产生极少量切割粉尘,加强车间通风,满足《大气污染物综合排放标准》 (GB16297-1996)表2中的无组织排放排放标准限值</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(5)食堂油烟</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食堂安装油烟净化器,处理效率均不低于60%,经油烟净化器处理后经专用烟道引至所在建筑物顶部排放,食堂油烟的排放满足《饮食业油烟排放标准(试行) 》 (GB18483-2001)中油烟的最高允许排放浓度2.0mg/m'的标准限值要求。</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因此,本项目产生的大气污染物对环境的影响较小。</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产生噪声的设备进行合理布局,设置减震垫,可减少噪声对环境的影响。经上述处理后,噪声经厂房隔声，且噪声随着距离的增加而衰减,厂界噪声值能达到《工业企业厂界环境噪声排放标准》(GB12348-2008)2类标准要求，不会对外环境的产生不良影响。</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4、固废管控：</w:t>
            </w:r>
          </w:p>
          <w:p>
            <w:pPr>
              <w:numPr>
                <w:ilvl w:val="0"/>
                <w:numId w:val="0"/>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产生的固体废物在采取本报告表所述处理处置措施后,固体废物得到妥善处置与处理,有利用价值的废物得到再利用,固体废物处理处置满足“资源化、减量化、无害化"原则,项目运营所产生的固体废物对环境不会构成显著性不良影响。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5、</w:t>
            </w:r>
            <w:r>
              <w:rPr>
                <w:rFonts w:hint="eastAsia" w:ascii="楷体" w:hAnsi="楷体" w:eastAsia="楷体" w:cs="宋体"/>
                <w:sz w:val="24"/>
                <w:szCs w:val="24"/>
              </w:rPr>
              <w:t>生产过程注意节水、节电、节约塑料材料，人走关闭设备和照明开关，现场未发现有漏水和浪费电能的现象。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公司给员工发放手套、口罩、耳塞、工作服等劳保用品。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9、能提供防止员工意外伤害加重的急救药品如创可贴、杀菌药水等。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10、为主要长期员工上社保，查见了交款证明。</w:t>
            </w:r>
          </w:p>
          <w:p>
            <w:pPr>
              <w:spacing w:line="360" w:lineRule="auto"/>
              <w:ind w:firstLine="421"/>
              <w:rPr>
                <w:rFonts w:ascii="楷体" w:hAnsi="楷体" w:eastAsia="楷体"/>
                <w:sz w:val="24"/>
                <w:szCs w:val="24"/>
              </w:rPr>
            </w:pPr>
            <w:r>
              <w:rPr>
                <w:rFonts w:hint="eastAsia" w:ascii="楷体" w:hAnsi="楷体" w:eastAsia="楷体" w:cs="宋体"/>
                <w:sz w:val="24"/>
                <w:szCs w:val="24"/>
              </w:rPr>
              <w:t>11、为环境和职业健康安全管理体系运行提供了财务支持，见</w:t>
            </w:r>
            <w:r>
              <w:rPr>
                <w:rFonts w:hint="eastAsia" w:ascii="楷体" w:hAnsi="楷体" w:eastAsia="楷体" w:cs="宋体"/>
                <w:sz w:val="24"/>
                <w:szCs w:val="24"/>
                <w:lang w:val="en-US" w:eastAsia="zh-CN"/>
              </w:rPr>
              <w:t>财务部</w:t>
            </w:r>
            <w:r>
              <w:rPr>
                <w:rFonts w:hint="eastAsia" w:ascii="楷体" w:hAnsi="楷体" w:eastAsia="楷体" w:cs="宋体"/>
                <w:sz w:val="24"/>
                <w:szCs w:val="24"/>
              </w:rPr>
              <w:t>审核记录</w:t>
            </w:r>
            <w:r>
              <w:rPr>
                <w:rFonts w:hint="eastAsia" w:ascii="楷体" w:hAnsi="楷体" w:eastAsia="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12</w:t>
            </w:r>
            <w:r>
              <w:rPr>
                <w:rFonts w:hint="eastAsia" w:ascii="楷体" w:hAnsi="楷体" w:eastAsia="楷体" w:cs="宋体"/>
                <w:sz w:val="24"/>
                <w:szCs w:val="24"/>
              </w:rPr>
              <w:t>、员工饮用水为纯净水通过饮水机饮用。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13、现场运行控制：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before="120"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车间现场在环保和职业健康安全防护方面的控制管理基本有效。</w:t>
            </w:r>
          </w:p>
          <w:p>
            <w:pPr>
              <w:spacing w:before="120" w:line="360" w:lineRule="auto"/>
              <w:ind w:firstLine="480" w:firstLineChars="200"/>
              <w:rPr>
                <w:rFonts w:hint="default" w:ascii="楷体" w:hAnsi="楷体" w:eastAsia="楷体" w:cs="楷体"/>
                <w:b w:val="0"/>
                <w:bCs/>
                <w:sz w:val="24"/>
                <w:szCs w:val="24"/>
                <w:lang w:val="en-US" w:eastAsia="zh-CN"/>
              </w:rPr>
            </w:pPr>
            <w:r>
              <w:rPr>
                <w:rFonts w:hint="eastAsia" w:ascii="楷体" w:hAnsi="楷体" w:eastAsia="楷体" w:cs="楷体"/>
                <w:b w:val="0"/>
                <w:bCs/>
                <w:sz w:val="24"/>
                <w:szCs w:val="24"/>
              </w:rPr>
              <w:t>在生产部审核时发现企业车间没有环保及职业健康安全管理相关的标识牌，不符合车间管理要求。</w:t>
            </w:r>
            <w:r>
              <w:rPr>
                <w:rFonts w:hint="eastAsia" w:ascii="楷体" w:hAnsi="楷体" w:eastAsia="楷体" w:cs="楷体"/>
                <w:b w:val="0"/>
                <w:bCs/>
                <w:sz w:val="24"/>
                <w:szCs w:val="24"/>
                <w:lang w:val="en-US" w:eastAsia="zh-CN"/>
              </w:rPr>
              <w:t>开具了不符合。</w:t>
            </w:r>
          </w:p>
          <w:p>
            <w:pPr>
              <w:spacing w:line="360" w:lineRule="auto"/>
              <w:ind w:firstLine="421"/>
              <w:rPr>
                <w:rFonts w:ascii="楷体" w:hAnsi="楷体" w:eastAsia="楷体" w:cs="宋体"/>
                <w:b/>
                <w:bCs/>
                <w:sz w:val="24"/>
                <w:szCs w:val="24"/>
              </w:rPr>
            </w:pP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046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提供了机械伤害应急预案、火灾应急预案、触电事故应急预案、食物中毒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22.7.3</w:t>
            </w:r>
            <w:r>
              <w:rPr>
                <w:rFonts w:hint="eastAsia" w:ascii="楷体" w:hAnsi="楷体" w:eastAsia="楷体" w:cs="楷体"/>
                <w:sz w:val="24"/>
                <w:szCs w:val="24"/>
              </w:rPr>
              <w:t>日参加了火灾</w:t>
            </w:r>
            <w:r>
              <w:rPr>
                <w:rFonts w:ascii="楷体" w:hAnsi="楷体" w:eastAsia="楷体" w:cs="楷体"/>
                <w:sz w:val="24"/>
                <w:szCs w:val="24"/>
              </w:rPr>
              <w:t>事故</w:t>
            </w:r>
            <w:r>
              <w:rPr>
                <w:rFonts w:hint="eastAsia" w:ascii="楷体" w:hAnsi="楷体" w:eastAsia="楷体" w:cs="楷体"/>
                <w:sz w:val="24"/>
                <w:szCs w:val="24"/>
              </w:rPr>
              <w:t>应急救援预案演练</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现场巡视办公区和车间配有多个灭火器和消防栓，均有效。</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查到“消防安全检查表”，抽查20</w:t>
            </w:r>
            <w:r>
              <w:rPr>
                <w:rFonts w:hint="eastAsia" w:ascii="楷体" w:hAnsi="楷体" w:eastAsia="楷体" w:cs="宋体"/>
                <w:sz w:val="24"/>
                <w:szCs w:val="24"/>
                <w:lang w:val="en-US" w:eastAsia="zh-CN"/>
              </w:rPr>
              <w:t>22</w:t>
            </w:r>
            <w:r>
              <w:rPr>
                <w:rFonts w:hint="eastAsia" w:ascii="楷体" w:hAnsi="楷体" w:eastAsia="楷体" w:cs="宋体"/>
                <w:sz w:val="24"/>
                <w:szCs w:val="24"/>
              </w:rPr>
              <w:t>.</w:t>
            </w:r>
            <w:r>
              <w:rPr>
                <w:rFonts w:hint="eastAsia" w:ascii="楷体" w:hAnsi="楷体" w:eastAsia="楷体" w:cs="宋体"/>
                <w:sz w:val="24"/>
                <w:szCs w:val="24"/>
                <w:lang w:val="en-US" w:eastAsia="zh-CN"/>
              </w:rPr>
              <w:t>1-6月</w:t>
            </w:r>
            <w:r>
              <w:rPr>
                <w:rFonts w:hint="eastAsia" w:ascii="楷体" w:hAnsi="楷体" w:eastAsia="楷体" w:cs="宋体"/>
                <w:sz w:val="24"/>
                <w:szCs w:val="24"/>
              </w:rPr>
              <w:t>检查结果均正常。</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624" w:leftChars="297"/>
      <w:jc w:val="left"/>
      <w:rPr>
        <w:rStyle w:val="12"/>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2"/>
        <w:rFonts w:hint="default"/>
      </w:rPr>
      <w:t>北京国标联合认证有限公司</w:t>
    </w:r>
    <w:r>
      <w:rPr>
        <w:rStyle w:val="12"/>
        <w:rFonts w:hint="default"/>
      </w:rPr>
      <w:tab/>
    </w:r>
    <w:r>
      <w:rPr>
        <w:rStyle w:val="12"/>
        <w:rFonts w:hint="default"/>
      </w:rPr>
      <w:tab/>
    </w:r>
  </w:p>
  <w:p>
    <w:pPr>
      <w:pStyle w:val="5"/>
      <w:pBdr>
        <w:bottom w:val="single" w:color="auto" w:sz="4" w:space="0"/>
      </w:pBdr>
      <w:tabs>
        <w:tab w:val="left" w:pos="8910"/>
        <w:tab w:val="left" w:pos="9045"/>
        <w:tab w:val="clear" w:pos="4153"/>
      </w:tabs>
      <w:spacing w:line="320" w:lineRule="exact"/>
      <w:ind w:left="624" w:leftChars="297"/>
      <w:jc w:val="left"/>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108219C2"/>
    <w:rsid w:val="197B5C80"/>
    <w:rsid w:val="2219166D"/>
    <w:rsid w:val="2B9D37CB"/>
    <w:rsid w:val="3E230B07"/>
    <w:rsid w:val="3FFC643D"/>
    <w:rsid w:val="44F20674"/>
    <w:rsid w:val="4C445D37"/>
    <w:rsid w:val="5EA12B9A"/>
    <w:rsid w:val="65F01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default" w:ascii="Times New Roman" w:hAnsi="Times New Roman" w:cs="Times New Roman"/>
      <w:color w:val="000000"/>
      <w:sz w:val="24"/>
      <w:szCs w:val="24"/>
    </w:rPr>
  </w:style>
  <w:style w:type="paragraph" w:customStyle="1" w:styleId="15">
    <w:name w:val="东方正文"/>
    <w:basedOn w:val="1"/>
    <w:qFormat/>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2758</Words>
  <Characters>3016</Characters>
  <Lines>79</Lines>
  <Paragraphs>22</Paragraphs>
  <TotalTime>2</TotalTime>
  <ScaleCrop>false</ScaleCrop>
  <LinksUpToDate>false</LinksUpToDate>
  <CharactersWithSpaces>3066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2022-08-05T08:37:45Z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9CC7A86CF07149CBB74FD75675330460</vt:lpwstr>
  </property>
</Properties>
</file>