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1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15"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管理层 总经理：刘海星   管代：兰晓敏   安全事务代表：张磊   </w:t>
            </w:r>
          </w:p>
        </w:tc>
        <w:tc>
          <w:tcPr>
            <w:tcW w:w="127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15"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审核员：</w:t>
            </w:r>
            <w:bookmarkStart w:id="0" w:name="审核组成员不含组长"/>
            <w:r>
              <w:rPr>
                <w:rFonts w:hint="eastAsia" w:ascii="Times New Roman" w:hAnsi="Times New Roman" w:eastAsia="宋体" w:cs="Times New Roman"/>
                <w:sz w:val="24"/>
                <w:szCs w:val="24"/>
                <w:lang w:val="en-US" w:eastAsia="zh-CN"/>
              </w:rPr>
              <w:t>李俐、</w:t>
            </w:r>
            <w:r>
              <w:rPr>
                <w:rFonts w:hint="eastAsia" w:ascii="Times New Roman" w:hAnsi="Times New Roman" w:eastAsia="宋体" w:cs="Times New Roman"/>
                <w:sz w:val="24"/>
                <w:szCs w:val="24"/>
              </w:rPr>
              <w:t>薛永宏</w:t>
            </w:r>
            <w:bookmarkEnd w:id="0"/>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bookmarkStart w:id="1" w:name="审核日期"/>
            <w:r>
              <w:rPr>
                <w:rFonts w:hint="eastAsia" w:ascii="Times New Roman" w:hAnsi="Times New Roman" w:eastAsia="宋体" w:cs="Times New Roman"/>
                <w:sz w:val="24"/>
                <w:szCs w:val="24"/>
              </w:rPr>
              <w:t>2022年08月02日 上午至2022年08月05日 下午</w:t>
            </w:r>
            <w:bookmarkEnd w:id="1"/>
          </w:p>
        </w:tc>
        <w:tc>
          <w:tcPr>
            <w:tcW w:w="12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15" w:type="dxa"/>
            <w:vAlign w:val="center"/>
          </w:tcPr>
          <w:p>
            <w:pPr>
              <w:spacing w:line="360" w:lineRule="auto"/>
              <w:jc w:val="left"/>
              <w:rPr>
                <w:rFonts w:hint="eastAsia"/>
                <w:lang w:val="en-US" w:eastAsia="zh-CN"/>
              </w:rPr>
            </w:pPr>
            <w:r>
              <w:rPr>
                <w:rFonts w:hint="eastAsia"/>
                <w:lang w:val="en-US" w:eastAsia="zh-CN"/>
              </w:rPr>
              <w:t>审核条款：</w:t>
            </w:r>
          </w:p>
          <w:p>
            <w:pPr>
              <w:spacing w:line="360" w:lineRule="auto"/>
              <w:jc w:val="left"/>
              <w:rPr>
                <w:rFonts w:hint="eastAsia"/>
                <w:lang w:val="en-US" w:eastAsia="zh-CN"/>
              </w:rPr>
            </w:pPr>
            <w:r>
              <w:rPr>
                <w:rFonts w:hint="eastAsia"/>
                <w:lang w:val="en-US" w:eastAsia="zh-CN"/>
              </w:rPr>
              <w:t>Q：4.1、4.2、4.3、4.4、5.1、5.2、5.3、6.1、6.2、6.3、7.1、9.3、10.1、10.3；</w:t>
            </w:r>
          </w:p>
          <w:p>
            <w:pPr>
              <w:spacing w:line="360" w:lineRule="auto"/>
              <w:jc w:val="left"/>
              <w:rPr>
                <w:rFonts w:hint="eastAsia"/>
                <w:lang w:val="en-US" w:eastAsia="zh-CN"/>
              </w:rPr>
            </w:pPr>
            <w:r>
              <w:rPr>
                <w:rFonts w:hint="eastAsia"/>
                <w:lang w:val="en-US" w:eastAsia="zh-CN"/>
              </w:rPr>
              <w:t>J：3.1、3.2、3.3、3.4、4.1、4.2、4.3、12.1、12.4、12.5；</w:t>
            </w:r>
          </w:p>
          <w:p>
            <w:pPr>
              <w:spacing w:line="360" w:lineRule="auto"/>
              <w:jc w:val="left"/>
              <w:rPr>
                <w:rFonts w:hint="eastAsia" w:eastAsia="宋体"/>
                <w:lang w:eastAsia="zh-CN"/>
              </w:rPr>
            </w:pPr>
            <w:r>
              <w:rPr>
                <w:rFonts w:hint="eastAsia"/>
                <w:lang w:val="en-US" w:eastAsia="zh-CN"/>
              </w:rPr>
              <w:t>上次审核不符合验证，证书、标志使用情况；事故事件及起处理情况，质量、环境安全监测情况、使用情况等。</w:t>
            </w:r>
          </w:p>
        </w:tc>
        <w:tc>
          <w:tcPr>
            <w:tcW w:w="12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cstheme="minorEastAsia"/>
                <w:sz w:val="21"/>
                <w:szCs w:val="21"/>
              </w:rPr>
            </w:pPr>
          </w:p>
          <w:p>
            <w:pPr>
              <w:rPr>
                <w:rFonts w:hint="eastAsia" w:ascii="宋体" w:hAnsi="宋体" w:cstheme="minorEastAsia"/>
                <w:sz w:val="21"/>
                <w:szCs w:val="21"/>
              </w:rPr>
            </w:pPr>
          </w:p>
          <w:p>
            <w:pPr>
              <w:rPr>
                <w:rFonts w:hint="eastAsia" w:ascii="宋体" w:hAnsi="宋体" w:cstheme="minorEastAsia"/>
                <w:sz w:val="21"/>
                <w:szCs w:val="21"/>
              </w:rPr>
            </w:pPr>
          </w:p>
          <w:p>
            <w:pPr>
              <w:rPr>
                <w:rFonts w:hint="eastAsia" w:ascii="宋体" w:hAnsi="宋体" w:cstheme="minorEastAsia"/>
                <w:sz w:val="21"/>
                <w:szCs w:val="21"/>
              </w:rPr>
            </w:pPr>
            <w:r>
              <w:rPr>
                <w:rFonts w:hint="eastAsia" w:ascii="宋体" w:hAnsi="宋体" w:cstheme="minorEastAsia"/>
                <w:sz w:val="21"/>
                <w:szCs w:val="21"/>
              </w:rPr>
              <w:t>组织及其环境；</w:t>
            </w:r>
          </w:p>
          <w:p>
            <w:pPr>
              <w:rPr>
                <w:rFonts w:hint="eastAsia" w:ascii="宋体" w:hAnsi="宋体" w:cstheme="minorEastAsia"/>
                <w:sz w:val="21"/>
                <w:szCs w:val="21"/>
              </w:rPr>
            </w:pPr>
            <w:r>
              <w:rPr>
                <w:rFonts w:hint="eastAsia" w:ascii="宋体" w:hAnsi="宋体" w:cstheme="minorEastAsia"/>
                <w:sz w:val="21"/>
                <w:szCs w:val="21"/>
              </w:rPr>
              <w:t>相关方的需求和希望；</w:t>
            </w:r>
          </w:p>
          <w:p>
            <w:pPr>
              <w:rPr>
                <w:rFonts w:hint="eastAsia" w:ascii="宋体" w:hAnsi="宋体" w:cstheme="minorEastAsia"/>
                <w:sz w:val="21"/>
                <w:szCs w:val="21"/>
              </w:rPr>
            </w:pPr>
            <w:r>
              <w:rPr>
                <w:rFonts w:hint="eastAsia" w:ascii="宋体" w:hAnsi="宋体" w:cstheme="minorEastAsia"/>
                <w:sz w:val="21"/>
                <w:szCs w:val="21"/>
              </w:rPr>
              <w:t>管理体系的范围</w:t>
            </w:r>
          </w:p>
          <w:p>
            <w:pPr>
              <w:rPr>
                <w:rFonts w:hint="eastAsia" w:eastAsia="宋体"/>
                <w:lang w:eastAsia="zh-CN"/>
              </w:rPr>
            </w:pPr>
            <w:r>
              <w:rPr>
                <w:rFonts w:hint="eastAsia" w:ascii="宋体" w:hAnsi="宋体" w:cstheme="minorEastAsia"/>
                <w:sz w:val="21"/>
                <w:szCs w:val="21"/>
              </w:rPr>
              <w:t>管理体系及其过程；</w:t>
            </w:r>
            <w:r>
              <w:rPr>
                <w:rFonts w:hint="eastAsia" w:ascii="宋体" w:hAnsi="宋体" w:cstheme="minorEastAsia"/>
                <w:sz w:val="21"/>
                <w:szCs w:val="21"/>
                <w:lang w:eastAsia="zh-CN"/>
              </w:rPr>
              <w:t>；</w:t>
            </w:r>
          </w:p>
        </w:tc>
        <w:tc>
          <w:tcPr>
            <w:tcW w:w="960" w:type="dxa"/>
          </w:tcPr>
          <w:p>
            <w:pPr>
              <w:adjustRightInd w:val="0"/>
              <w:snapToGri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Q:</w:t>
            </w:r>
          </w:p>
          <w:p>
            <w:pPr>
              <w:adjustRightInd w:val="0"/>
              <w:snapToGri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4.1;</w:t>
            </w:r>
          </w:p>
          <w:p>
            <w:pPr>
              <w:adjustRightInd w:val="0"/>
              <w:snapToGri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4.2;</w:t>
            </w:r>
          </w:p>
          <w:p>
            <w:pPr>
              <w:adjustRightInd w:val="0"/>
              <w:snapToGri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4.3;</w:t>
            </w:r>
          </w:p>
          <w:p>
            <w:pPr>
              <w:adjustRightInd w:val="0"/>
              <w:snapToGri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4.4</w:t>
            </w:r>
          </w:p>
          <w:p>
            <w:pPr>
              <w:adjustRightInd w:val="0"/>
              <w:snapToGrid w:val="0"/>
              <w:spacing w:line="240" w:lineRule="auto"/>
              <w:rPr>
                <w:rFonts w:hint="eastAsia" w:asciiTheme="minorEastAsia" w:hAnsiTheme="minorEastAsia" w:eastAsiaTheme="minorEastAsia" w:cstheme="minorEastAsia"/>
                <w:b/>
                <w:bCs/>
                <w:sz w:val="21"/>
                <w:szCs w:val="21"/>
              </w:rPr>
            </w:pP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J:</w:t>
            </w:r>
          </w:p>
          <w:p>
            <w:pPr>
              <w:spacing w:line="24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3.3</w:t>
            </w:r>
            <w:r>
              <w:rPr>
                <w:rFonts w:hint="eastAsia" w:asciiTheme="minorEastAsia" w:hAnsiTheme="minorEastAsia" w:eastAsiaTheme="minorEastAsia" w:cstheme="minorEastAsia"/>
                <w:b/>
                <w:bCs/>
                <w:sz w:val="21"/>
                <w:szCs w:val="21"/>
                <w:lang w:eastAsia="zh-CN"/>
              </w:rPr>
              <w:t>；</w:t>
            </w:r>
          </w:p>
          <w:p>
            <w:r>
              <w:rPr>
                <w:rFonts w:hint="eastAsia" w:asciiTheme="minorEastAsia" w:hAnsiTheme="minorEastAsia" w:eastAsiaTheme="minorEastAsia" w:cstheme="minorEastAsia"/>
                <w:b/>
                <w:bCs/>
                <w:sz w:val="21"/>
                <w:szCs w:val="21"/>
              </w:rPr>
              <w:t>3.4</w:t>
            </w:r>
          </w:p>
        </w:tc>
        <w:tc>
          <w:tcPr>
            <w:tcW w:w="10315" w:type="dxa"/>
          </w:tcPr>
          <w:p>
            <w:pPr>
              <w:spacing w:line="360" w:lineRule="auto"/>
              <w:jc w:val="left"/>
              <w:rPr>
                <w:rFonts w:hint="eastAsia"/>
                <w:lang w:val="en-US" w:eastAsia="zh-CN"/>
              </w:rPr>
            </w:pPr>
            <w:r>
              <w:rPr>
                <w:rFonts w:hint="eastAsia"/>
                <w:lang w:val="en-US" w:eastAsia="zh-CN"/>
              </w:rPr>
              <w:t xml:space="preserve">面谈人员：总经理：刘星海  管代：兰晓敏     安全事务代表：张磊 </w:t>
            </w:r>
          </w:p>
          <w:p>
            <w:pPr>
              <w:spacing w:line="360" w:lineRule="auto"/>
              <w:jc w:val="left"/>
              <w:rPr>
                <w:rFonts w:hint="eastAsia"/>
                <w:lang w:val="en-US" w:eastAsia="zh-CN"/>
              </w:rPr>
            </w:pPr>
            <w:r>
              <w:rPr>
                <w:rFonts w:hint="eastAsia"/>
                <w:lang w:val="en-US" w:eastAsia="zh-CN"/>
              </w:rPr>
              <w:t>黑龙江省万意达石油工程有限公司，注册资金10008万元，2005年04月14日成立，有效期：长期，法人代表：刘星海。见附件</w:t>
            </w:r>
          </w:p>
          <w:p>
            <w:pPr>
              <w:spacing w:line="360" w:lineRule="auto"/>
              <w:jc w:val="left"/>
              <w:rPr>
                <w:rFonts w:hint="eastAsia"/>
                <w:lang w:eastAsia="zh-CN"/>
              </w:rPr>
            </w:pPr>
            <w:r>
              <w:rPr>
                <w:rFonts w:hint="eastAsia"/>
                <w:lang w:eastAsia="zh-CN"/>
              </w:rPr>
              <w:t>《</w:t>
            </w:r>
            <w:r>
              <w:rPr>
                <w:rFonts w:hint="eastAsia"/>
                <w:lang w:val="en-US" w:eastAsia="zh-CN"/>
              </w:rPr>
              <w:t>中华人民共和国特种设备制造许可证（压力容器）</w:t>
            </w:r>
            <w:r>
              <w:rPr>
                <w:rFonts w:hint="eastAsia"/>
                <w:lang w:eastAsia="zh-CN"/>
              </w:rPr>
              <w:t>》</w:t>
            </w:r>
          </w:p>
          <w:p>
            <w:pPr>
              <w:spacing w:line="360" w:lineRule="auto"/>
              <w:jc w:val="left"/>
              <w:rPr>
                <w:rFonts w:hint="eastAsia"/>
                <w:lang w:val="en-US" w:eastAsia="zh-CN"/>
              </w:rPr>
            </w:pPr>
            <w:r>
              <w:rPr>
                <w:rFonts w:hint="eastAsia"/>
                <w:lang w:val="en-US" w:eastAsia="zh-CN"/>
              </w:rPr>
              <w:t>编号：TS22100414-2023  A2级    固定式压力容器     有效期：2023.2.17</w:t>
            </w:r>
          </w:p>
          <w:p>
            <w:pPr>
              <w:spacing w:line="360" w:lineRule="auto"/>
              <w:jc w:val="left"/>
              <w:rPr>
                <w:rFonts w:hint="eastAsia"/>
                <w:lang w:val="en-US" w:eastAsia="zh-CN"/>
              </w:rPr>
            </w:pPr>
            <w:r>
              <w:rPr>
                <w:rFonts w:hint="eastAsia"/>
                <w:lang w:val="en-US" w:eastAsia="zh-CN"/>
              </w:rPr>
              <w:t>编号：TS3810331-2021  GB1、GB2（2）级    公用管道、GC1级   工业管道   有效期：2025.6.18，</w:t>
            </w:r>
          </w:p>
          <w:p>
            <w:pPr>
              <w:spacing w:line="360" w:lineRule="auto"/>
              <w:jc w:val="left"/>
              <w:rPr>
                <w:rFonts w:hint="eastAsia"/>
                <w:lang w:val="en-US" w:eastAsia="zh-CN"/>
              </w:rPr>
            </w:pPr>
            <w:r>
              <w:rPr>
                <w:rFonts w:hint="eastAsia"/>
                <w:lang w:val="en-US" w:eastAsia="zh-CN"/>
              </w:rPr>
              <w:t>《建筑业企业资质证书》，编号：D323239530   有效期：2025.1.9</w:t>
            </w:r>
          </w:p>
          <w:p>
            <w:pPr>
              <w:spacing w:line="360" w:lineRule="auto"/>
              <w:jc w:val="left"/>
              <w:rPr>
                <w:rFonts w:hint="eastAsia"/>
                <w:lang w:val="en-US" w:eastAsia="zh-CN"/>
              </w:rPr>
            </w:pPr>
            <w:r>
              <w:rPr>
                <w:rFonts w:hint="eastAsia"/>
                <w:lang w:val="en-US" w:eastAsia="zh-CN"/>
              </w:rPr>
              <w:t>资质等级：石油化工工程施工总承包三级、建筑机电安装工程专业承包三级、环保工程专业承包三级、</w:t>
            </w:r>
          </w:p>
          <w:p>
            <w:pPr>
              <w:spacing w:line="360" w:lineRule="auto"/>
              <w:jc w:val="left"/>
              <w:rPr>
                <w:rFonts w:hint="default"/>
                <w:lang w:val="en-US" w:eastAsia="zh-CN"/>
              </w:rPr>
            </w:pPr>
            <w:r>
              <w:rPr>
                <w:rFonts w:hint="eastAsia"/>
                <w:lang w:val="en-US" w:eastAsia="zh-CN"/>
              </w:rPr>
              <w:t>机电工程施工总承包三级、建筑工程施工总承包三级</w:t>
            </w:r>
          </w:p>
          <w:p>
            <w:pPr>
              <w:spacing w:line="360" w:lineRule="auto"/>
              <w:jc w:val="left"/>
              <w:rPr>
                <w:rFonts w:hint="default"/>
                <w:lang w:val="en-US" w:eastAsia="zh-CN"/>
              </w:rPr>
            </w:pPr>
            <w:r>
              <w:rPr>
                <w:rFonts w:hint="eastAsia"/>
                <w:lang w:val="en-US" w:eastAsia="zh-CN"/>
              </w:rPr>
              <w:t>《建筑业企业资质证书》2</w:t>
            </w:r>
          </w:p>
          <w:p>
            <w:pPr>
              <w:spacing w:line="360" w:lineRule="auto"/>
              <w:jc w:val="left"/>
              <w:rPr>
                <w:rFonts w:hint="default"/>
                <w:lang w:val="en-US" w:eastAsia="zh-CN"/>
              </w:rPr>
            </w:pPr>
            <w:r>
              <w:rPr>
                <w:rFonts w:hint="eastAsia"/>
                <w:lang w:val="en-US" w:eastAsia="zh-CN"/>
              </w:rPr>
              <w:t>编号：D223236999   有效期：2024.10.23</w:t>
            </w:r>
          </w:p>
          <w:p>
            <w:pPr>
              <w:spacing w:line="360" w:lineRule="auto"/>
              <w:jc w:val="left"/>
              <w:rPr>
                <w:rFonts w:hint="eastAsia"/>
                <w:lang w:val="en-US" w:eastAsia="zh-CN"/>
              </w:rPr>
            </w:pPr>
            <w:r>
              <w:rPr>
                <w:rFonts w:hint="eastAsia"/>
                <w:lang w:val="en-US" w:eastAsia="zh-CN"/>
              </w:rPr>
              <w:t>资质等级：防水防腐保温工程专业承包贰级、消防设施工程专业承包贰级、特种工程(特殊设备起重吊装)专业承包不分等级。</w:t>
            </w:r>
          </w:p>
          <w:p>
            <w:pPr>
              <w:spacing w:line="360" w:lineRule="auto"/>
              <w:jc w:val="left"/>
              <w:rPr>
                <w:rFonts w:hint="default"/>
                <w:lang w:val="en-US" w:eastAsia="zh-CN"/>
              </w:rPr>
            </w:pPr>
            <w:r>
              <w:rPr>
                <w:rFonts w:hint="eastAsia"/>
                <w:lang w:val="en-US" w:eastAsia="zh-CN"/>
              </w:rPr>
              <w:t>《安全生产许可证》，许可范围：建筑施工   有效期：2023.02.27</w:t>
            </w:r>
          </w:p>
          <w:p>
            <w:pPr>
              <w:spacing w:line="360" w:lineRule="auto"/>
              <w:jc w:val="left"/>
              <w:rPr>
                <w:rFonts w:hint="eastAsia"/>
              </w:rPr>
            </w:pPr>
            <w:r>
              <w:rPr>
                <w:rFonts w:hint="eastAsia"/>
                <w:lang w:val="en-US" w:eastAsia="zh-CN"/>
              </w:rPr>
              <w:t>资质满足认证范围的要求。</w:t>
            </w:r>
          </w:p>
        </w:tc>
        <w:tc>
          <w:tcPr>
            <w:tcW w:w="1274" w:type="dxa"/>
          </w:tcPr>
          <w:p>
            <w:pPr>
              <w:rPr>
                <w:rFonts w:hint="eastAsia" w:eastAsia="宋体"/>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315" w:type="dxa"/>
          </w:tcPr>
          <w:p>
            <w:pPr>
              <w:spacing w:line="360" w:lineRule="auto"/>
              <w:jc w:val="left"/>
              <w:rPr>
                <w:rFonts w:hint="eastAsia"/>
                <w:lang w:val="en-US" w:eastAsia="zh-CN"/>
              </w:rPr>
            </w:pPr>
            <w:r>
              <w:rPr>
                <w:rFonts w:hint="eastAsia"/>
                <w:lang w:val="en-US" w:eastAsia="zh-CN"/>
              </w:rPr>
              <w:t>公司在管理手册中，确定了对公司有利的内外部环境因素，对公司不利的内、外部因素有：市场竞争非常激烈，国家和政府对企业环保要求提高等。</w:t>
            </w:r>
          </w:p>
          <w:p>
            <w:pPr>
              <w:spacing w:line="360" w:lineRule="auto"/>
              <w:jc w:val="left"/>
              <w:rPr>
                <w:rFonts w:hint="eastAsia"/>
                <w:lang w:val="en-US" w:eastAsia="zh-CN"/>
              </w:rPr>
            </w:pPr>
            <w:r>
              <w:rPr>
                <w:rFonts w:hint="eastAsia"/>
                <w:lang w:val="en-US" w:eastAsia="zh-CN"/>
              </w:rPr>
              <w:t>公司通过业内展会、同行交流、座谈会、每周工作例会、QQ、微信等进行内外部沟通，并定期进行评审，形成会议记录。</w:t>
            </w:r>
          </w:p>
          <w:p>
            <w:pPr>
              <w:spacing w:line="360" w:lineRule="auto"/>
              <w:jc w:val="left"/>
              <w:rPr>
                <w:rFonts w:hint="eastAsia"/>
                <w:lang w:val="en-US" w:eastAsia="zh-CN"/>
              </w:rPr>
            </w:pPr>
            <w:r>
              <w:rPr>
                <w:rFonts w:hint="eastAsia"/>
                <w:lang w:val="en-US" w:eastAsia="zh-CN"/>
              </w:rPr>
              <w:t>公司在管理手册和制定的《风险和机遇管理制度》中，确定了对公司有利的内外部环境因素，公司通过业内交流会、每周工作例会、QQ、微信等进行内外部沟通，并定期进行评审。</w:t>
            </w:r>
          </w:p>
          <w:p>
            <w:pPr>
              <w:spacing w:line="360" w:lineRule="auto"/>
              <w:jc w:val="left"/>
              <w:rPr>
                <w:rFonts w:hint="eastAsia"/>
                <w:lang w:val="en-US" w:eastAsia="zh-CN"/>
              </w:rPr>
            </w:pPr>
            <w:r>
              <w:rPr>
                <w:rFonts w:hint="eastAsia"/>
                <w:lang w:val="en-US" w:eastAsia="zh-CN"/>
              </w:rPr>
              <w:t>公司整合建立了质量、环境和职业健康安全管理一体化的管理体系，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jc w:val="left"/>
              <w:rPr>
                <w:rFonts w:hint="eastAsia"/>
                <w:lang w:val="en-US" w:eastAsia="zh-CN"/>
              </w:rPr>
            </w:pPr>
            <w:r>
              <w:rPr>
                <w:rFonts w:hint="eastAsia"/>
                <w:lang w:val="en-US" w:eastAsia="zh-CN"/>
              </w:rPr>
              <w:t>查见《组织环境和相关方需求分析清单》</w:t>
            </w:r>
          </w:p>
          <w:p>
            <w:pPr>
              <w:spacing w:line="360" w:lineRule="auto"/>
              <w:jc w:val="left"/>
              <w:rPr>
                <w:rFonts w:hint="eastAsia"/>
                <w:lang w:val="en-US" w:eastAsia="zh-CN"/>
              </w:rPr>
            </w:pPr>
            <w:r>
              <w:rPr>
                <w:rFonts w:hint="eastAsia"/>
                <w:lang w:val="en-US" w:eastAsia="zh-CN"/>
              </w:rPr>
              <w:t>相关方：员工、顾客 、政府机构、审核机构、供方、银行、税务等；</w:t>
            </w:r>
          </w:p>
          <w:p>
            <w:pPr>
              <w:spacing w:line="360" w:lineRule="auto"/>
              <w:jc w:val="left"/>
              <w:rPr>
                <w:rFonts w:hint="eastAsia"/>
                <w:lang w:val="en-US" w:eastAsia="zh-CN"/>
              </w:rPr>
            </w:pPr>
            <w:r>
              <w:rPr>
                <w:rFonts w:hint="eastAsia"/>
                <w:lang w:val="en-US" w:eastAsia="zh-CN"/>
              </w:rPr>
              <w:t>需求和期望：服务质量符合顾客要求等。</w:t>
            </w:r>
          </w:p>
          <w:p>
            <w:pPr>
              <w:spacing w:line="360" w:lineRule="auto"/>
              <w:jc w:val="left"/>
              <w:rPr>
                <w:rFonts w:hint="eastAsia"/>
                <w:lang w:val="en-US" w:eastAsia="zh-CN"/>
              </w:rPr>
            </w:pPr>
            <w:r>
              <w:rPr>
                <w:rFonts w:hint="eastAsia"/>
                <w:lang w:val="en-US" w:eastAsia="zh-CN"/>
              </w:rPr>
              <w:t>对相关方的要求的监视和评审的方法多样，通过QQ和微信等现代通讯手段是常用的便捷而又高效主要方法。</w:t>
            </w:r>
          </w:p>
          <w:p>
            <w:pPr>
              <w:spacing w:line="360" w:lineRule="auto"/>
              <w:jc w:val="left"/>
              <w:rPr>
                <w:rFonts w:hint="eastAsia"/>
                <w:lang w:val="en-US" w:eastAsia="zh-CN"/>
              </w:rPr>
            </w:pPr>
            <w:r>
              <w:rPr>
                <w:rFonts w:hint="eastAsia"/>
                <w:lang w:val="en-US" w:eastAsia="zh-CN"/>
              </w:rPr>
              <w:t>提供2022年风险机会识别措施评价表，内容及记录清晰：</w:t>
            </w:r>
          </w:p>
          <w:p>
            <w:pPr>
              <w:spacing w:line="360" w:lineRule="auto"/>
              <w:jc w:val="left"/>
              <w:rPr>
                <w:rFonts w:hint="eastAsia"/>
                <w:lang w:val="en-US" w:eastAsia="zh-CN"/>
              </w:rPr>
            </w:pPr>
            <w:r>
              <w:rPr>
                <w:rFonts w:hint="eastAsia"/>
                <w:lang w:val="en-US" w:eastAsia="zh-CN"/>
              </w:rPr>
              <w:t>公司确定的相关方有员工、顾客 、政府机构、审核机构、供方等。</w:t>
            </w:r>
          </w:p>
          <w:p>
            <w:pPr>
              <w:spacing w:line="360" w:lineRule="auto"/>
              <w:jc w:val="left"/>
              <w:rPr>
                <w:rFonts w:hint="eastAsia"/>
                <w:lang w:val="en-US" w:eastAsia="zh-CN"/>
              </w:rPr>
            </w:pPr>
            <w:r>
              <w:rPr>
                <w:rFonts w:hint="eastAsia"/>
                <w:lang w:val="en-US" w:eastAsia="zh-CN"/>
              </w:rPr>
              <w:t>理解员工诉求的形式为谈心、茶话会等；理解银行等相关方的形式主要为电话沟通、上门拜访等；</w:t>
            </w:r>
          </w:p>
          <w:p>
            <w:pPr>
              <w:spacing w:line="360" w:lineRule="auto"/>
              <w:jc w:val="left"/>
              <w:rPr>
                <w:rFonts w:hint="eastAsia"/>
                <w:lang w:val="en-US" w:eastAsia="zh-CN"/>
              </w:rPr>
            </w:pPr>
            <w:r>
              <w:rPr>
                <w:rFonts w:hint="eastAsia"/>
                <w:lang w:val="en-US" w:eastAsia="zh-CN"/>
              </w:rPr>
              <w:t>员工关注的主要问题有工资、待遇、晋升机制、福利等，供方和合作伙伴关注的主要问题互利和连续性，产品质量、售后服务、成本价格、交付期等。</w:t>
            </w:r>
          </w:p>
          <w:p>
            <w:pPr>
              <w:spacing w:line="360" w:lineRule="auto"/>
              <w:jc w:val="left"/>
              <w:rPr>
                <w:rFonts w:hint="eastAsia"/>
                <w:lang w:val="en-US" w:eastAsia="zh-CN"/>
              </w:rPr>
            </w:pPr>
            <w:r>
              <w:rPr>
                <w:rFonts w:hint="eastAsia"/>
                <w:lang w:val="en-US" w:eastAsia="zh-CN"/>
              </w:rPr>
              <w:t>审核过程中确认，近年来，该企业无质量、环境和职业健康安全管理体系等方面违规被处罚、媒体通报情况。</w:t>
            </w:r>
          </w:p>
          <w:p>
            <w:pPr>
              <w:spacing w:line="360" w:lineRule="auto"/>
              <w:jc w:val="left"/>
              <w:rPr>
                <w:rFonts w:hint="eastAsia"/>
              </w:rPr>
            </w:pPr>
            <w:r>
              <w:rPr>
                <w:rFonts w:hint="eastAsia"/>
                <w:lang w:val="en-US" w:eastAsia="zh-CN"/>
              </w:rPr>
              <w:t>内部沟通良好、外部提供过程的管理、顾客沟通及客户满意及员工及相关方的报怨、投诉的处理情况。</w:t>
            </w:r>
          </w:p>
        </w:tc>
        <w:tc>
          <w:tcPr>
            <w:tcW w:w="12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315" w:type="dxa"/>
          </w:tcPr>
          <w:p>
            <w:pPr>
              <w:spacing w:line="360" w:lineRule="auto"/>
              <w:jc w:val="left"/>
              <w:rPr>
                <w:rFonts w:hint="eastAsia"/>
              </w:rPr>
            </w:pPr>
            <w:r>
              <w:rPr>
                <w:rFonts w:hint="eastAsia"/>
              </w:rPr>
              <w:t>Q：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360" w:lineRule="auto"/>
              <w:jc w:val="left"/>
              <w:rPr>
                <w:rFonts w:hint="eastAsia"/>
              </w:rPr>
            </w:pPr>
            <w:r>
              <w:rPr>
                <w:rFonts w:hint="eastAsia"/>
              </w:rPr>
              <w:t>油田技术服务</w:t>
            </w:r>
            <w:r>
              <w:rPr>
                <w:rFonts w:hint="eastAsia"/>
                <w:sz w:val="20"/>
                <w:u w:val="none"/>
                <w:lang w:eastAsia="zh-CN"/>
              </w:rPr>
              <w:t>（</w:t>
            </w:r>
            <w:r>
              <w:rPr>
                <w:rFonts w:hint="eastAsia"/>
                <w:sz w:val="20"/>
                <w:u w:val="none"/>
              </w:rPr>
              <w:t>注气(汽)</w:t>
            </w:r>
            <w:r>
              <w:rPr>
                <w:rFonts w:hint="eastAsia"/>
                <w:sz w:val="20"/>
                <w:u w:val="none"/>
                <w:lang w:eastAsia="zh-CN"/>
              </w:rPr>
              <w:t>、</w:t>
            </w:r>
            <w:r>
              <w:rPr>
                <w:rFonts w:hint="eastAsia"/>
                <w:sz w:val="20"/>
                <w:u w:val="none"/>
              </w:rPr>
              <w:t>井下作业</w:t>
            </w:r>
            <w:r>
              <w:rPr>
                <w:rFonts w:hint="eastAsia"/>
                <w:sz w:val="20"/>
                <w:u w:val="none"/>
                <w:lang w:eastAsia="zh-CN"/>
              </w:rPr>
              <w:t>、测试</w:t>
            </w:r>
            <w:r>
              <w:rPr>
                <w:rFonts w:hint="eastAsia"/>
                <w:sz w:val="20"/>
                <w:u w:val="none"/>
              </w:rPr>
              <w:t>技术服务</w:t>
            </w:r>
            <w:r>
              <w:rPr>
                <w:rFonts w:hint="eastAsia"/>
                <w:sz w:val="20"/>
                <w:u w:val="none"/>
                <w:lang w:eastAsia="zh-CN"/>
              </w:rPr>
              <w:t>）</w:t>
            </w:r>
            <w:r>
              <w:rPr>
                <w:rFonts w:hint="eastAsia"/>
              </w:rPr>
              <w:t>；钻井泥浆（水基泥浆、油基泥浆、盐水泥浆）不落地无害化处理技术服务；固体废物处理（油固分离）；</w:t>
            </w:r>
          </w:p>
          <w:p>
            <w:pPr>
              <w:pStyle w:val="13"/>
              <w:rPr>
                <w:rFonts w:hint="eastAsia"/>
              </w:rPr>
            </w:pPr>
            <w:r>
              <w:rPr>
                <w:rFonts w:hint="eastAsia"/>
              </w:rPr>
              <w:t>GC1级工业管道安装, GB1、GB2级公用管道安装；</w:t>
            </w:r>
          </w:p>
          <w:p>
            <w:pPr>
              <w:spacing w:line="360" w:lineRule="auto"/>
              <w:jc w:val="left"/>
              <w:rPr>
                <w:rFonts w:hint="eastAsia"/>
              </w:rPr>
            </w:pPr>
            <w:r>
              <w:rPr>
                <w:rFonts w:hint="eastAsia"/>
              </w:rPr>
              <w:t>EC ：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p>
          <w:p>
            <w:pPr>
              <w:spacing w:line="360" w:lineRule="auto"/>
              <w:jc w:val="left"/>
              <w:rPr>
                <w:rFonts w:hint="eastAsia"/>
              </w:rPr>
            </w:pPr>
            <w:r>
              <w:rPr>
                <w:rFonts w:hint="eastAsia"/>
              </w:rPr>
              <w:t>E：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360" w:lineRule="auto"/>
              <w:jc w:val="left"/>
              <w:rPr>
                <w:rFonts w:hint="eastAsia"/>
              </w:rPr>
            </w:pPr>
            <w:r>
              <w:rPr>
                <w:rFonts w:hint="eastAsia"/>
              </w:rPr>
              <w:t>油田技术服务</w:t>
            </w:r>
            <w:r>
              <w:rPr>
                <w:rFonts w:hint="eastAsia"/>
                <w:sz w:val="20"/>
                <w:u w:val="none"/>
                <w:lang w:eastAsia="zh-CN"/>
              </w:rPr>
              <w:t>（</w:t>
            </w:r>
            <w:r>
              <w:rPr>
                <w:rFonts w:hint="eastAsia"/>
                <w:sz w:val="20"/>
                <w:u w:val="none"/>
              </w:rPr>
              <w:t>注气(汽)</w:t>
            </w:r>
            <w:r>
              <w:rPr>
                <w:rFonts w:hint="eastAsia"/>
                <w:sz w:val="20"/>
                <w:u w:val="none"/>
                <w:lang w:eastAsia="zh-CN"/>
              </w:rPr>
              <w:t>、</w:t>
            </w:r>
            <w:r>
              <w:rPr>
                <w:rFonts w:hint="eastAsia"/>
                <w:sz w:val="20"/>
                <w:u w:val="none"/>
              </w:rPr>
              <w:t>井下作业</w:t>
            </w:r>
            <w:r>
              <w:rPr>
                <w:rFonts w:hint="eastAsia"/>
                <w:sz w:val="20"/>
                <w:u w:val="none"/>
                <w:lang w:eastAsia="zh-CN"/>
              </w:rPr>
              <w:t>、测试</w:t>
            </w:r>
            <w:r>
              <w:rPr>
                <w:rFonts w:hint="eastAsia"/>
                <w:sz w:val="20"/>
                <w:u w:val="none"/>
              </w:rPr>
              <w:t>技术服务</w:t>
            </w:r>
            <w:r>
              <w:rPr>
                <w:rFonts w:hint="eastAsia"/>
                <w:sz w:val="20"/>
                <w:u w:val="none"/>
                <w:lang w:eastAsia="zh-CN"/>
              </w:rPr>
              <w:t>）</w:t>
            </w:r>
            <w:r>
              <w:rPr>
                <w:rFonts w:hint="eastAsia"/>
              </w:rPr>
              <w:t>；钻井泥浆（水基泥浆、油基泥浆、盐水泥浆）不落地无害化处理技术服务；固体废物处理（油固分离）；</w:t>
            </w:r>
          </w:p>
          <w:p>
            <w:pPr>
              <w:spacing w:line="360" w:lineRule="auto"/>
              <w:jc w:val="left"/>
              <w:rPr>
                <w:rFonts w:hint="eastAsia"/>
              </w:rPr>
            </w:pPr>
            <w:r>
              <w:rPr>
                <w:rFonts w:hint="eastAsia"/>
              </w:rPr>
              <w:t>GC1级工业管道安装, GB1、GB2级公用管道安装及相关环境管理活动；</w:t>
            </w:r>
          </w:p>
          <w:p>
            <w:pPr>
              <w:spacing w:line="360" w:lineRule="auto"/>
              <w:jc w:val="left"/>
              <w:rPr>
                <w:rFonts w:hint="eastAsia"/>
              </w:rPr>
            </w:pPr>
            <w:r>
              <w:rPr>
                <w:rFonts w:hint="eastAsia"/>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环境管理活动</w:t>
            </w:r>
          </w:p>
          <w:p>
            <w:pPr>
              <w:spacing w:line="360" w:lineRule="auto"/>
              <w:jc w:val="left"/>
              <w:rPr>
                <w:rFonts w:hint="eastAsia"/>
              </w:rPr>
            </w:pPr>
            <w:r>
              <w:rPr>
                <w:rFonts w:hint="eastAsia"/>
              </w:rPr>
              <w:t>O：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360" w:lineRule="auto"/>
              <w:jc w:val="left"/>
              <w:rPr>
                <w:rFonts w:hint="eastAsia"/>
              </w:rPr>
            </w:pPr>
            <w:r>
              <w:rPr>
                <w:rFonts w:hint="eastAsia"/>
              </w:rPr>
              <w:t>油田技术服务</w:t>
            </w:r>
            <w:r>
              <w:rPr>
                <w:rFonts w:hint="eastAsia"/>
                <w:sz w:val="20"/>
                <w:u w:val="none"/>
                <w:lang w:eastAsia="zh-CN"/>
              </w:rPr>
              <w:t>（</w:t>
            </w:r>
            <w:r>
              <w:rPr>
                <w:rFonts w:hint="eastAsia"/>
                <w:sz w:val="20"/>
                <w:u w:val="none"/>
              </w:rPr>
              <w:t>注气(汽)</w:t>
            </w:r>
            <w:r>
              <w:rPr>
                <w:rFonts w:hint="eastAsia"/>
                <w:sz w:val="20"/>
                <w:u w:val="none"/>
                <w:lang w:eastAsia="zh-CN"/>
              </w:rPr>
              <w:t>、</w:t>
            </w:r>
            <w:r>
              <w:rPr>
                <w:rFonts w:hint="eastAsia"/>
                <w:sz w:val="20"/>
                <w:u w:val="none"/>
              </w:rPr>
              <w:t>井下作业</w:t>
            </w:r>
            <w:r>
              <w:rPr>
                <w:rFonts w:hint="eastAsia"/>
                <w:sz w:val="20"/>
                <w:u w:val="none"/>
                <w:lang w:eastAsia="zh-CN"/>
              </w:rPr>
              <w:t>、测试</w:t>
            </w:r>
            <w:r>
              <w:rPr>
                <w:rFonts w:hint="eastAsia"/>
                <w:sz w:val="20"/>
                <w:u w:val="none"/>
              </w:rPr>
              <w:t>技术服务</w:t>
            </w:r>
            <w:r>
              <w:rPr>
                <w:rFonts w:hint="eastAsia"/>
                <w:sz w:val="20"/>
                <w:u w:val="none"/>
                <w:lang w:eastAsia="zh-CN"/>
              </w:rPr>
              <w:t>）</w:t>
            </w:r>
            <w:r>
              <w:rPr>
                <w:rFonts w:hint="eastAsia"/>
              </w:rPr>
              <w:t>；钻井泥浆（水基泥浆、油基泥浆、盐水泥浆）不落地无害化处理技术服务；固体废物处理（油固分离）；</w:t>
            </w:r>
          </w:p>
          <w:p>
            <w:pPr>
              <w:spacing w:line="360" w:lineRule="auto"/>
              <w:jc w:val="left"/>
              <w:rPr>
                <w:rFonts w:hint="eastAsia"/>
              </w:rPr>
            </w:pPr>
            <w:r>
              <w:rPr>
                <w:rFonts w:hint="eastAsia"/>
              </w:rPr>
              <w:t>GC1级工业管道安装, GB1、GB2级公用管道安装及相关职业健康安全管理活动。</w:t>
            </w:r>
          </w:p>
          <w:p>
            <w:pPr>
              <w:spacing w:line="360" w:lineRule="auto"/>
              <w:jc w:val="left"/>
              <w:rPr>
                <w:rFonts w:hint="eastAsia"/>
                <w:lang w:eastAsia="zh-CN"/>
              </w:rPr>
            </w:pPr>
            <w:r>
              <w:rPr>
                <w:rFonts w:hint="eastAsia"/>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职业健康安全管理活动</w:t>
            </w:r>
            <w:r>
              <w:rPr>
                <w:rFonts w:hint="eastAsia"/>
                <w:lang w:eastAsia="zh-CN"/>
              </w:rPr>
              <w:t>。</w:t>
            </w:r>
          </w:p>
          <w:p>
            <w:pPr>
              <w:spacing w:line="360" w:lineRule="auto"/>
              <w:ind w:firstLine="420" w:firstLineChars="200"/>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因为该公司主要为</w:t>
            </w:r>
            <w:r>
              <w:rPr>
                <w:rFonts w:hint="eastAsia" w:ascii="Times New Roman" w:hAnsi="Times New Roman" w:eastAsia="宋体" w:cs="Times New Roman"/>
                <w:szCs w:val="22"/>
              </w:rPr>
              <w:t>压力容器、环保专用设备、石油钻采机械部件</w:t>
            </w:r>
            <w:r>
              <w:rPr>
                <w:rFonts w:hint="eastAsia" w:ascii="Times New Roman" w:hAnsi="Times New Roman" w:eastAsia="宋体" w:cs="Times New Roman"/>
                <w:szCs w:val="22"/>
                <w:lang w:val="en-US" w:eastAsia="zh-CN"/>
              </w:rPr>
              <w:t>生产，</w:t>
            </w:r>
            <w:r>
              <w:rPr>
                <w:rFonts w:hint="eastAsia" w:ascii="Times New Roman" w:hAnsi="Times New Roman" w:eastAsia="宋体" w:cs="Times New Roman"/>
                <w:szCs w:val="22"/>
                <w:lang w:val="de-DE"/>
              </w:rPr>
              <w:t>GB/T19001-2016</w:t>
            </w:r>
            <w:r>
              <w:rPr>
                <w:rFonts w:hint="eastAsia" w:ascii="Times New Roman" w:hAnsi="Times New Roman" w:eastAsia="宋体" w:cs="Times New Roman"/>
                <w:szCs w:val="22"/>
                <w:lang w:val="en-US" w:eastAsia="zh-CN"/>
              </w:rPr>
              <w:t>无删减；</w:t>
            </w:r>
            <w:r>
              <w:rPr>
                <w:rFonts w:hint="eastAsia" w:ascii="Times New Roman" w:hAnsi="Times New Roman" w:eastAsia="宋体" w:cs="Times New Roman"/>
                <w:szCs w:val="22"/>
                <w:lang w:val="de-DE"/>
              </w:rPr>
              <w:t>GB/T50430-2017</w:t>
            </w:r>
            <w:r>
              <w:rPr>
                <w:rFonts w:hint="eastAsia" w:ascii="Times New Roman" w:hAnsi="Times New Roman" w:eastAsia="宋体" w:cs="Times New Roman"/>
                <w:szCs w:val="22"/>
                <w:lang w:val="en-US" w:eastAsia="zh-CN"/>
              </w:rPr>
              <w:t>删减</w:t>
            </w:r>
            <w:r>
              <w:rPr>
                <w:rFonts w:hint="eastAsia" w:ascii="Times New Roman" w:hAnsi="Times New Roman" w:eastAsia="宋体" w:cs="Times New Roman"/>
                <w:szCs w:val="22"/>
                <w:lang w:val="de-DE"/>
              </w:rPr>
              <w:t>的10.3</w:t>
            </w:r>
            <w:r>
              <w:rPr>
                <w:rFonts w:hint="eastAsia"/>
                <w:szCs w:val="21"/>
              </w:rPr>
              <w:t>施工设计</w:t>
            </w:r>
            <w:r>
              <w:rPr>
                <w:rFonts w:hint="eastAsia" w:ascii="Times New Roman" w:hAnsi="Times New Roman" w:eastAsia="宋体" w:cs="Times New Roman"/>
                <w:szCs w:val="22"/>
                <w:lang w:val="de-DE"/>
              </w:rPr>
              <w:t>条款</w:t>
            </w:r>
            <w:r>
              <w:rPr>
                <w:rFonts w:hint="eastAsia" w:cs="Times New Roman"/>
                <w:szCs w:val="22"/>
                <w:lang w:val="de-DE" w:eastAsia="zh-CN"/>
              </w:rPr>
              <w:t>，</w:t>
            </w:r>
            <w:r>
              <w:rPr>
                <w:rFonts w:hint="eastAsia"/>
                <w:szCs w:val="21"/>
              </w:rPr>
              <w:t>理由为：因公司的工程施工用设计图纸由建设方提供,施工过程是按照国家或地方的规范及标准进行。本公司不负有施工图设计责任,故</w:t>
            </w:r>
            <w:r>
              <w:rPr>
                <w:rFonts w:hint="eastAsia" w:ascii="Times New Roman" w:hAnsi="Times New Roman" w:eastAsia="宋体" w:cs="Times New Roman"/>
                <w:szCs w:val="22"/>
                <w:lang w:val="en-US" w:eastAsia="zh-CN"/>
              </w:rPr>
              <w:t>删减合理。</w:t>
            </w:r>
          </w:p>
          <w:p>
            <w:pPr>
              <w:spacing w:line="360" w:lineRule="auto"/>
            </w:pPr>
            <w:r>
              <w:rPr>
                <w:rFonts w:hint="eastAsia"/>
                <w:lang w:val="en-US" w:eastAsia="zh-CN"/>
              </w:rPr>
              <w:t>资质满足认证范围的要求。</w:t>
            </w:r>
          </w:p>
        </w:tc>
        <w:tc>
          <w:tcPr>
            <w:tcW w:w="12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领导作用与承诺</w:t>
            </w:r>
          </w:p>
          <w:p>
            <w:pPr>
              <w:spacing w:line="240" w:lineRule="auto"/>
            </w:pPr>
          </w:p>
        </w:tc>
        <w:tc>
          <w:tcPr>
            <w:tcW w:w="960" w:type="dxa"/>
            <w:vAlign w:val="top"/>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Q5.1</w:t>
            </w:r>
          </w:p>
          <w:p>
            <w:pPr>
              <w:pStyle w:val="13"/>
              <w:spacing w:line="240" w:lineRule="auto"/>
            </w:pPr>
            <w:r>
              <w:rPr>
                <w:rFonts w:hint="eastAsia" w:asciiTheme="minorEastAsia" w:hAnsiTheme="minorEastAsia" w:eastAsiaTheme="minorEastAsia" w:cstheme="minorEastAsia"/>
                <w:sz w:val="21"/>
                <w:szCs w:val="21"/>
              </w:rPr>
              <w:t>J4.3</w:t>
            </w:r>
          </w:p>
        </w:tc>
        <w:tc>
          <w:tcPr>
            <w:tcW w:w="10315" w:type="dxa"/>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2、制定和发布公司自身发展质量方针；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3、确保管理目标的制定、分解落实到相关职能和部门，并激励员工为实现目标而努力； </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4、定期进行管理评审，以评价管理方针、管理目标的适宜性及实现情况，同时评价管理体系的适宜性、充分性和有效性。 </w:t>
            </w:r>
          </w:p>
          <w:p>
            <w:pPr>
              <w:spacing w:line="360" w:lineRule="auto"/>
              <w:jc w:val="left"/>
            </w:pPr>
            <w:r>
              <w:rPr>
                <w:rFonts w:hint="eastAsia" w:asciiTheme="minorEastAsia" w:hAnsiTheme="minorEastAsia" w:eastAsiaTheme="minorEastAsia" w:cstheme="minorEastAsia"/>
                <w:sz w:val="21"/>
                <w:szCs w:val="21"/>
              </w:rPr>
              <w:t>5、为确保建立、运行和持续改进管理体系所需的一切资源得到满足，公司提供了信息、技术、人力、设备、环境和资金等必要资源。</w:t>
            </w:r>
          </w:p>
        </w:tc>
        <w:tc>
          <w:tcPr>
            <w:tcW w:w="1274" w:type="dxa"/>
          </w:tcPr>
          <w:p>
            <w:pPr>
              <w:rPr>
                <w:rFonts w:hint="eastAsia" w:eastAsia="宋体"/>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60" w:type="dxa"/>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w:t>
            </w:r>
          </w:p>
        </w:tc>
        <w:tc>
          <w:tcPr>
            <w:tcW w:w="960" w:type="dxa"/>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Q5.2 </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J3.2</w:t>
            </w:r>
          </w:p>
        </w:tc>
        <w:tc>
          <w:tcPr>
            <w:tcW w:w="10315" w:type="dxa"/>
            <w:vAlign w:val="top"/>
          </w:tcPr>
          <w:p>
            <w:pPr>
              <w:spacing w:line="360" w:lineRule="auto"/>
              <w:rPr>
                <w:rFonts w:hint="eastAsia"/>
              </w:rPr>
            </w:pPr>
            <w:r>
              <w:rPr>
                <w:rFonts w:hint="eastAsia"/>
              </w:rPr>
              <w:t>质量方针：</w:t>
            </w:r>
          </w:p>
          <w:p>
            <w:pPr>
              <w:spacing w:line="360" w:lineRule="auto"/>
              <w:ind w:firstLine="420" w:firstLineChars="200"/>
              <w:rPr>
                <w:rFonts w:hint="eastAsia"/>
              </w:rPr>
            </w:pPr>
            <w:r>
              <w:rPr>
                <w:rFonts w:hint="eastAsia"/>
              </w:rPr>
              <w:t>信守质量承诺    提供优质服务  打造品牌产品    持续健康发展</w:t>
            </w:r>
            <w:r>
              <w:rPr>
                <w:rFonts w:hint="eastAsia"/>
                <w:lang w:val="en-US" w:eastAsia="zh-CN"/>
              </w:rPr>
              <w:t xml:space="preserve">  </w:t>
            </w:r>
            <w:r>
              <w:rPr>
                <w:rFonts w:hint="eastAsia"/>
              </w:rPr>
              <w:t>应依法服务于发包方，增强其满意程度；应履行社会责任，树立企业形象和品牌</w:t>
            </w:r>
            <w:r>
              <w:rPr>
                <w:rFonts w:hint="eastAsia"/>
                <w:lang w:val="en-US" w:eastAsia="zh-CN"/>
              </w:rPr>
              <w:t xml:space="preserve">  </w:t>
            </w:r>
            <w:r>
              <w:rPr>
                <w:rFonts w:hint="eastAsia"/>
              </w:rPr>
              <w:t>应持续改进质量管理绩效。</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运行控制和按规定时间间隔进行内部审核，管理评审等措施，对质量、职业健康安全、环境管理体系进行持续改进。方针与公司的总体经营理念相适应、协调，符合企业目前现状，体现了让客户满意、保证质量符合性、预防污染、安全健康、遵纪守法、持续改进的承诺。</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QEO管理方针在手册上进行了确定和发布，并通过文件发放的形式发放至各部门、给员工进行了宣传培训。 QEO方针对外进行了发布。手册对方针的内涵进行了阐述，为目标制定及评审提供了框架，每年至少一次,在管理评审会议上讨论其适宜性和改进机会。</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企业的QEO方针的内容和管理基本符合标准和法规要求。</w:t>
            </w:r>
            <w:r>
              <w:rPr>
                <w:rFonts w:hint="eastAsia" w:asciiTheme="minorEastAsia" w:hAnsiTheme="minorEastAsia" w:eastAsiaTheme="minorEastAsia" w:cstheme="minorEastAsia"/>
                <w:sz w:val="21"/>
                <w:szCs w:val="21"/>
                <w:lang w:val="en-US" w:eastAsia="zh-CN"/>
              </w:rPr>
              <w:t>上次审核至今未发生变化。</w:t>
            </w:r>
          </w:p>
        </w:tc>
        <w:tc>
          <w:tcPr>
            <w:tcW w:w="1274" w:type="dxa"/>
          </w:tcPr>
          <w:p>
            <w:pPr>
              <w:rPr>
                <w:rFonts w:hint="eastAsia" w:eastAsia="宋体"/>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资源、角色、职责、责任与权限</w:t>
            </w:r>
          </w:p>
        </w:tc>
        <w:tc>
          <w:tcPr>
            <w:tcW w:w="960" w:type="dxa"/>
            <w:vAlign w:val="top"/>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Q5.3 </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J4.2</w:t>
            </w:r>
          </w:p>
        </w:tc>
        <w:tc>
          <w:tcPr>
            <w:tcW w:w="10315" w:type="dxa"/>
            <w:vAlign w:val="top"/>
          </w:tcPr>
          <w:p>
            <w:pPr>
              <w:spacing w:line="360" w:lineRule="auto"/>
              <w:jc w:val="left"/>
              <w:rPr>
                <w:rFonts w:hint="eastAsia"/>
              </w:rPr>
            </w:pPr>
            <w:r>
              <w:rPr>
                <w:rFonts w:hint="eastAsia"/>
              </w:rPr>
              <w:t>查《管理手册》包括了企业组织机构图、职能分配表。抽查：组织机构图、职能分配表、职责描述，基本保持一致。公司编制了《岗位任职要求》对总经理、管理者代表、各部门的岗位职责和权限进行了规定，内容全面合理。各部门、岗位之间通过会议、文件传阅、培训等方式相互了解职责与权限。</w:t>
            </w:r>
          </w:p>
          <w:p>
            <w:pPr>
              <w:spacing w:line="360" w:lineRule="auto"/>
              <w:jc w:val="left"/>
              <w:rPr>
                <w:rFonts w:hint="default"/>
                <w:lang w:val="en-US" w:eastAsia="zh-CN"/>
              </w:rPr>
            </w:pPr>
            <w:r>
              <w:rPr>
                <w:rFonts w:hint="eastAsia"/>
              </w:rPr>
              <w:t>最管理者，</w:t>
            </w:r>
            <w:r>
              <w:rPr>
                <w:rFonts w:hint="eastAsia"/>
                <w:lang w:val="en-US" w:eastAsia="zh-CN"/>
              </w:rPr>
              <w:t xml:space="preserve">总经理：刘星海  管代：兰晓敏     安全事务代表：张磊 </w:t>
            </w:r>
          </w:p>
          <w:p>
            <w:pPr>
              <w:spacing w:line="360" w:lineRule="auto"/>
              <w:jc w:val="left"/>
              <w:rPr>
                <w:rFonts w:hint="eastAsia"/>
              </w:rPr>
            </w:pPr>
            <w:r>
              <w:rPr>
                <w:rFonts w:hint="eastAsia"/>
              </w:rPr>
              <w:t>组织机构：管理层、综合部、生产部、技术部、经营部、质安环部、工程管理部</w:t>
            </w:r>
            <w:r>
              <w:rPr>
                <w:rFonts w:hint="eastAsia"/>
                <w:lang w:eastAsia="zh-CN"/>
              </w:rPr>
              <w:t>、</w:t>
            </w:r>
            <w:r>
              <w:rPr>
                <w:rFonts w:hint="eastAsia"/>
                <w:lang w:val="en-US" w:eastAsia="zh-CN"/>
              </w:rPr>
              <w:t>财务部</w:t>
            </w:r>
            <w:r>
              <w:rPr>
                <w:rFonts w:hint="eastAsia"/>
              </w:rPr>
              <w:t>。</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管理者代表</w:t>
            </w:r>
            <w:r>
              <w:rPr>
                <w:rFonts w:hint="eastAsia" w:asciiTheme="minorEastAsia" w:hAnsiTheme="minorEastAsia" w:eastAsiaTheme="minorEastAsia" w:cstheme="minorEastAsia"/>
                <w:sz w:val="21"/>
                <w:szCs w:val="21"/>
                <w:lang w:val="en-US" w:eastAsia="zh-CN"/>
              </w:rPr>
              <w:t>：1、对最高管理者负责,确保公司质量管理体系过程得到建立和实施,并持续改进。2、协助总经理召开管理评审会议,并就决议事项进行跟踪、确认;3、主抓我公司行政许可、产品、质量管理体系的各项认证事宜;4、确保质量管理体系运行符合执行标准要求;5、组织内部审核,向最高管理者报告质量管理体系的业绩,包括改进的需求；6、推动以顾客满意为中心的质量管理体系,确保在整个公司内提高满足客户要求的意识；7、负责质量手册制定与修订审核,确保质量手册符合相关体系执行标准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w:t>
            </w:r>
            <w:r>
              <w:rPr>
                <w:rFonts w:hint="eastAsia" w:asciiTheme="minorEastAsia" w:hAnsiTheme="minorEastAsia" w:eastAsiaTheme="minorEastAsia" w:cstheme="minorEastAsia"/>
                <w:sz w:val="21"/>
                <w:szCs w:val="21"/>
                <w:lang w:eastAsia="zh-CN"/>
              </w:rPr>
              <w:t>岗位工作人员任职要求</w:t>
            </w:r>
            <w:r>
              <w:rPr>
                <w:rFonts w:hint="eastAsia" w:asciiTheme="minorEastAsia" w:hAnsiTheme="minorEastAsia" w:eastAsiaTheme="minorEastAsia" w:cstheme="minorEastAsia"/>
                <w:sz w:val="21"/>
                <w:szCs w:val="21"/>
                <w:lang w:val="en-US" w:eastAsia="zh-CN"/>
              </w:rPr>
              <w:t>》中得到规定。经查问组织内的职责和权限基本得到沟通，通过文件发布、传达、会议、培训等了解有关职责和权限。同总经理交谈，对于自身职责权限比较清楚。</w:t>
            </w:r>
          </w:p>
        </w:tc>
        <w:tc>
          <w:tcPr>
            <w:tcW w:w="1274" w:type="dxa"/>
          </w:tcPr>
          <w:p>
            <w:pPr>
              <w:rPr>
                <w:rFonts w:hint="default"/>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tc>
        <w:tc>
          <w:tcPr>
            <w:tcW w:w="96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Q6.1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w:t>
            </w:r>
            <w:r>
              <w:rPr>
                <w:rFonts w:hint="eastAsia" w:asciiTheme="minorEastAsia" w:hAnsiTheme="minorEastAsia" w:eastAsiaTheme="minorEastAsia" w:cstheme="minorEastAsia"/>
                <w:sz w:val="21"/>
                <w:szCs w:val="21"/>
                <w:lang w:val="en-US" w:eastAsia="zh-CN"/>
              </w:rPr>
              <w:t>3</w:t>
            </w:r>
          </w:p>
        </w:tc>
        <w:tc>
          <w:tcPr>
            <w:tcW w:w="10315"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tc>
        <w:tc>
          <w:tcPr>
            <w:tcW w:w="1274" w:type="dxa"/>
          </w:tcPr>
          <w:p>
            <w:pPr>
              <w:rPr>
                <w:rFonts w:hint="default"/>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目标及其实现的策划</w:t>
            </w:r>
          </w:p>
        </w:tc>
        <w:tc>
          <w:tcPr>
            <w:tcW w:w="960"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J3.2</w:t>
            </w:r>
          </w:p>
          <w:p>
            <w:pPr>
              <w:spacing w:line="240" w:lineRule="auto"/>
              <w:rPr>
                <w:rFonts w:hint="eastAsia" w:asciiTheme="minorEastAsia" w:hAnsiTheme="minorEastAsia" w:eastAsiaTheme="minorEastAsia" w:cstheme="minorEastAsia"/>
                <w:sz w:val="21"/>
                <w:szCs w:val="21"/>
              </w:rPr>
            </w:pPr>
          </w:p>
        </w:tc>
        <w:tc>
          <w:tcPr>
            <w:tcW w:w="10315" w:type="dxa"/>
            <w:vAlign w:val="top"/>
          </w:tcPr>
          <w:p>
            <w:pPr>
              <w:spacing w:line="360" w:lineRule="auto"/>
              <w:rPr>
                <w:rFonts w:hint="eastAsia"/>
              </w:rPr>
            </w:pPr>
            <w:r>
              <w:rPr>
                <w:rFonts w:hint="eastAsia" w:asciiTheme="minorEastAsia" w:hAnsiTheme="minorEastAsia" w:eastAsiaTheme="minorEastAsia" w:cstheme="minorEastAsia"/>
                <w:sz w:val="21"/>
                <w:szCs w:val="21"/>
              </w:rPr>
              <w:t>按照《目标分解与考核办法》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质量目标:</w:t>
            </w:r>
            <w:r>
              <w:rPr>
                <w:rFonts w:hint="eastAsia"/>
                <w:lang w:val="en-US" w:eastAsia="zh-CN"/>
              </w:rPr>
              <w:t>1、</w:t>
            </w:r>
            <w:r>
              <w:rPr>
                <w:rFonts w:hint="eastAsia"/>
              </w:rPr>
              <w:t>一次检验合格率96%</w:t>
            </w:r>
            <w:r>
              <w:rPr>
                <w:rFonts w:hint="eastAsia"/>
                <w:lang w:val="en-US" w:eastAsia="zh-CN"/>
              </w:rPr>
              <w:t xml:space="preserve"> ；2、</w:t>
            </w:r>
            <w:r>
              <w:rPr>
                <w:rFonts w:hint="eastAsia"/>
              </w:rPr>
              <w:t>顾客满意度≥87%</w:t>
            </w:r>
          </w:p>
          <w:p>
            <w:pPr>
              <w:spacing w:line="360" w:lineRule="auto"/>
              <w:rPr>
                <w:rFonts w:hint="eastAsia"/>
              </w:rPr>
            </w:pPr>
            <w:r>
              <w:rPr>
                <w:rFonts w:hint="eastAsia" w:asciiTheme="minorEastAsia" w:hAnsiTheme="minorEastAsia" w:eastAsiaTheme="minorEastAsia" w:cstheme="minorEastAsia"/>
                <w:sz w:val="21"/>
                <w:szCs w:val="21"/>
              </w:rPr>
              <w:t>查《2022年度质量环境安全目标统计表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月，对目标进行考核，均达到目标</w:t>
            </w:r>
            <w:r>
              <w:rPr>
                <w:rFonts w:hint="eastAsia" w:asciiTheme="minorEastAsia" w:hAnsiTheme="minorEastAsia" w:eastAsiaTheme="minorEastAsia" w:cstheme="minorEastAsia"/>
                <w:sz w:val="21"/>
                <w:szCs w:val="21"/>
                <w:lang w:val="en-US"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综上可以看出:三体系的运行全部实现预定目标,符合公司制定的方针。三体系的建立和运行适合公司的发展,并确保其持续的适宜性、充分性和有效性。</w:t>
            </w:r>
          </w:p>
        </w:tc>
        <w:tc>
          <w:tcPr>
            <w:tcW w:w="1274" w:type="dxa"/>
          </w:tcPr>
          <w:p>
            <w:pPr>
              <w:rPr>
                <w:rFonts w:hint="default"/>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变更的策划</w:t>
            </w:r>
          </w:p>
        </w:tc>
        <w:tc>
          <w:tcPr>
            <w:tcW w:w="960"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J3.4</w:t>
            </w:r>
          </w:p>
        </w:tc>
        <w:tc>
          <w:tcPr>
            <w:tcW w:w="10315" w:type="dxa"/>
            <w:vAlign w:val="center"/>
          </w:tcPr>
          <w:p>
            <w:pPr>
              <w:spacing w:line="360" w:lineRule="auto"/>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360" w:lineRule="auto"/>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360" w:lineRule="auto"/>
              <w:rPr>
                <w:rFonts w:hint="eastAsia" w:asciiTheme="minorEastAsia" w:hAnsiTheme="minorEastAsia" w:eastAsiaTheme="minorEastAsia" w:cstheme="minorEastAsia"/>
                <w:sz w:val="21"/>
                <w:szCs w:val="21"/>
              </w:rPr>
            </w:pPr>
            <w:r>
              <w:rPr>
                <w:rFonts w:hint="eastAsia" w:ascii="宋体" w:hAnsi="宋体" w:cs="宋体"/>
                <w:szCs w:val="21"/>
              </w:rPr>
              <w:t>公司目前对管理体系暂无变更。</w:t>
            </w:r>
          </w:p>
        </w:tc>
        <w:tc>
          <w:tcPr>
            <w:tcW w:w="1274" w:type="dxa"/>
          </w:tcPr>
          <w:p>
            <w:pPr>
              <w:rPr>
                <w:rFonts w:hint="default"/>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资源</w:t>
            </w:r>
          </w:p>
        </w:tc>
        <w:tc>
          <w:tcPr>
            <w:tcW w:w="96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Q7.1.1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J5.1</w:t>
            </w:r>
          </w:p>
        </w:tc>
        <w:tc>
          <w:tcPr>
            <w:tcW w:w="10315" w:type="dxa"/>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spacing w:line="360" w:lineRule="auto"/>
              <w:rPr>
                <w:rFonts w:hint="eastAsia" w:ascii="宋体" w:hAnsi="宋体" w:cs="宋体"/>
                <w:szCs w:val="21"/>
              </w:rPr>
            </w:pPr>
            <w:r>
              <w:rPr>
                <w:rFonts w:hint="eastAsia" w:asciiTheme="minorEastAsia" w:hAnsiTheme="minorEastAsia" w:eastAsiaTheme="minorEastAsia" w:cstheme="minorEastAsia"/>
                <w:sz w:val="21"/>
                <w:szCs w:val="21"/>
              </w:rPr>
              <w:t>总经理对资源的配备比较重视，人力资源、装修设备、技术资料和工作环境等可满足有体系覆盖范围内的活动；</w:t>
            </w:r>
          </w:p>
        </w:tc>
        <w:tc>
          <w:tcPr>
            <w:tcW w:w="1274" w:type="dxa"/>
          </w:tcPr>
          <w:p>
            <w:pPr>
              <w:rPr>
                <w:rFonts w:hint="eastAsia"/>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960" w:type="dxa"/>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J5.2</w:t>
            </w:r>
          </w:p>
        </w:tc>
        <w:tc>
          <w:tcPr>
            <w:tcW w:w="10315" w:type="dxa"/>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公司编制《职责与权限汇编》、《员工岗位能力规定》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查见：《员工岗位能力》中规定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各</w:t>
            </w:r>
            <w:r>
              <w:rPr>
                <w:rFonts w:hint="eastAsia" w:asciiTheme="minorEastAsia" w:hAnsiTheme="minorEastAsia" w:eastAsiaTheme="minorEastAsia" w:cstheme="minorEastAsia"/>
                <w:sz w:val="21"/>
                <w:szCs w:val="21"/>
                <w:lang w:val="en-US" w:eastAsia="zh-CN"/>
              </w:rPr>
              <w:t>部门经理的</w:t>
            </w:r>
            <w:r>
              <w:rPr>
                <w:rFonts w:hint="eastAsia" w:asciiTheme="minorEastAsia" w:hAnsiTheme="minorEastAsia" w:eastAsiaTheme="minorEastAsia" w:cstheme="minorEastAsia"/>
                <w:sz w:val="21"/>
                <w:szCs w:val="21"/>
              </w:rPr>
              <w:t>学历和企业管理实际工作经验；员工岗位能力规定熟知产品的执行标准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流程并有能力组织实施产品和相关服务活动全过程的程序和质量控制点；对公司在用的设备性能、原理、维修与保养项目及间隔时间明确并有组织实施的能力；能有效地协调各部门之间的工作，确保公司的各项工作有序并有效运转。</w:t>
            </w:r>
          </w:p>
        </w:tc>
        <w:tc>
          <w:tcPr>
            <w:tcW w:w="1274" w:type="dxa"/>
          </w:tcPr>
          <w:p>
            <w:pPr>
              <w:rPr>
                <w:rFonts w:hint="eastAsia"/>
                <w:lang w:val="en-US" w:eastAsia="zh-CN"/>
              </w:rPr>
            </w:pP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tc>
        <w:tc>
          <w:tcPr>
            <w:tcW w:w="960" w:type="dxa"/>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Q9.3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w:t>
            </w:r>
          </w:p>
        </w:tc>
        <w:tc>
          <w:tcPr>
            <w:tcW w:w="10315" w:type="dxa"/>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评审时间：2022年6月19日</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评审目的：对公司质量、环境及职业健康安全管理体系适宜性和有效性进行分析和评价</w:t>
            </w:r>
          </w:p>
          <w:p>
            <w:pPr>
              <w:tabs>
                <w:tab w:val="center" w:pos="3169"/>
              </w:tabs>
              <w:spacing w:line="36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主持人：总经理</w:t>
            </w:r>
            <w:r>
              <w:rPr>
                <w:rFonts w:hint="eastAsia" w:asciiTheme="minorEastAsia" w:hAnsiTheme="minorEastAsia" w:eastAsiaTheme="minorEastAsia" w:cstheme="minorEastAsia"/>
                <w:sz w:val="21"/>
                <w:szCs w:val="21"/>
                <w:lang w:val="en-US" w:eastAsia="zh-CN"/>
              </w:rPr>
              <w:t>刘星海</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参加人员：总经理、体系负责人、各部门主管及项目经理</w:t>
            </w:r>
          </w:p>
          <w:p>
            <w:pPr>
              <w:tabs>
                <w:tab w:val="center" w:pos="3169"/>
              </w:tabs>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评审依据：GB/T19001-2016 idt ISO9001:2015和GB/T50430-2017</w:t>
            </w:r>
            <w:r>
              <w:rPr>
                <w:rFonts w:hint="eastAsia" w:asciiTheme="minorEastAsia" w:hAnsiTheme="minorEastAsia" w:eastAsiaTheme="minorEastAsia" w:cstheme="minorEastAsia"/>
                <w:sz w:val="21"/>
                <w:szCs w:val="21"/>
                <w:lang w:eastAsia="zh-CN"/>
              </w:rPr>
              <w:t>、</w:t>
            </w:r>
          </w:p>
          <w:p>
            <w:pPr>
              <w:tabs>
                <w:tab w:val="center" w:pos="3169"/>
              </w:tabs>
              <w:spacing w:line="360" w:lineRule="auto"/>
              <w:ind w:firstLine="1050" w:firstLineChars="5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24001-2016/ISO14001:2015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GB/T45001-2020 / ISO45001：2018</w:t>
            </w:r>
          </w:p>
          <w:p>
            <w:pPr>
              <w:tabs>
                <w:tab w:val="center" w:pos="3169"/>
              </w:tabs>
              <w:spacing w:line="360" w:lineRule="auto"/>
              <w:jc w:val="left"/>
              <w:rPr>
                <w:rFonts w:hint="eastAsia" w:ascii="宋体" w:hAnsi="宋体" w:cs="宋体"/>
                <w:kern w:val="0"/>
                <w:szCs w:val="21"/>
              </w:rPr>
            </w:pPr>
            <w:r>
              <w:rPr>
                <w:rFonts w:hint="eastAsia"/>
              </w:rPr>
              <w:t>评审输入内容：</w:t>
            </w:r>
            <w:r>
              <w:rPr>
                <w:rFonts w:hint="eastAsia" w:ascii="宋体" w:hAnsi="宋体" w:cs="宋体"/>
                <w:kern w:val="0"/>
                <w:szCs w:val="21"/>
              </w:rPr>
              <w:t>公司管理体系方针、目标的适宜性，目标的实现情况，是否需要进一步更新管理体系的目标以及环境职业健康安全管理方案</w:t>
            </w:r>
            <w:r>
              <w:rPr>
                <w:rFonts w:hint="eastAsia" w:ascii="宋体" w:hAnsi="宋体" w:cs="宋体"/>
                <w:kern w:val="0"/>
                <w:szCs w:val="21"/>
                <w:lang w:eastAsia="zh-CN"/>
              </w:rPr>
              <w:t>；</w:t>
            </w:r>
            <w:r>
              <w:rPr>
                <w:rFonts w:hint="eastAsia" w:ascii="宋体" w:hAnsi="宋体" w:cs="宋体"/>
                <w:kern w:val="0"/>
                <w:szCs w:val="21"/>
              </w:rPr>
              <w:t>公司资源配置是否得当，是否能够满足管理体系的目标和要求</w:t>
            </w:r>
            <w:r>
              <w:rPr>
                <w:rFonts w:hint="eastAsia" w:ascii="宋体" w:hAnsi="宋体" w:cs="宋体"/>
                <w:kern w:val="0"/>
                <w:szCs w:val="21"/>
                <w:lang w:eastAsia="zh-CN"/>
              </w:rPr>
              <w:t>；</w:t>
            </w:r>
            <w:r>
              <w:rPr>
                <w:rFonts w:hint="eastAsia" w:ascii="宋体" w:hAnsi="宋体" w:cs="宋体"/>
                <w:kern w:val="0"/>
                <w:szCs w:val="21"/>
              </w:rPr>
              <w:t>工程质量控制情况；环境、危险源辨识、评价、控制是否适宜，现行的控制措施是否有效</w:t>
            </w:r>
            <w:r>
              <w:rPr>
                <w:rFonts w:hint="eastAsia" w:ascii="宋体" w:hAnsi="宋体" w:cs="宋体"/>
                <w:kern w:val="0"/>
                <w:szCs w:val="21"/>
                <w:lang w:eastAsia="zh-CN"/>
              </w:rPr>
              <w:t>；</w:t>
            </w:r>
            <w:r>
              <w:rPr>
                <w:rFonts w:hint="eastAsia" w:ascii="宋体" w:hAnsi="宋体" w:cs="宋体"/>
                <w:kern w:val="0"/>
                <w:szCs w:val="21"/>
              </w:rPr>
              <w:t>相关方的投诉以及顾客投诉建议以及其他要求；法律法规以及其他要求的符合性状况如何；对于管理体系绩效情况；事故和事件的调查处理情况、纠正和预防措施的实施情况；公司内部审核以及外部审核的结果以及上次管理评审的跟踪措施的情况</w:t>
            </w:r>
            <w:r>
              <w:rPr>
                <w:rFonts w:hint="eastAsia" w:ascii="宋体" w:hAnsi="宋体" w:cs="宋体"/>
                <w:kern w:val="0"/>
                <w:szCs w:val="21"/>
                <w:lang w:eastAsia="zh-CN"/>
              </w:rPr>
              <w:t>；</w:t>
            </w:r>
            <w:r>
              <w:rPr>
                <w:rFonts w:hint="eastAsia" w:ascii="宋体" w:hAnsi="宋体" w:cs="宋体"/>
                <w:kern w:val="0"/>
                <w:szCs w:val="21"/>
              </w:rPr>
              <w:t>质量管理体系相关的内外部因素的变化</w:t>
            </w:r>
            <w:r>
              <w:rPr>
                <w:rFonts w:hint="eastAsia" w:ascii="宋体" w:hAnsi="宋体" w:cs="宋体"/>
                <w:kern w:val="0"/>
                <w:szCs w:val="21"/>
                <w:lang w:eastAsia="zh-CN"/>
              </w:rPr>
              <w:t>；</w:t>
            </w:r>
            <w:r>
              <w:rPr>
                <w:rFonts w:hint="eastAsia" w:ascii="宋体" w:hAnsi="宋体" w:cs="宋体"/>
                <w:kern w:val="0"/>
                <w:szCs w:val="21"/>
              </w:rPr>
              <w:t>策划是否得到有效实施；外部供方的绩效；应对风险和机遇所采取措施的有效性</w:t>
            </w:r>
            <w:r>
              <w:rPr>
                <w:rFonts w:hint="eastAsia" w:ascii="宋体" w:hAnsi="宋体" w:cs="宋体"/>
                <w:kern w:val="0"/>
                <w:szCs w:val="21"/>
                <w:lang w:eastAsia="zh-CN"/>
              </w:rPr>
              <w:t>；</w:t>
            </w:r>
            <w:r>
              <w:rPr>
                <w:rFonts w:hint="eastAsia" w:ascii="宋体" w:hAnsi="宋体" w:cs="宋体"/>
                <w:kern w:val="0"/>
                <w:szCs w:val="21"/>
              </w:rPr>
              <w:t>需要改进的建议。</w:t>
            </w:r>
          </w:p>
          <w:p>
            <w:pPr>
              <w:spacing w:line="360" w:lineRule="auto"/>
              <w:ind w:firstLine="420" w:firstLineChars="200"/>
              <w:rPr>
                <w:rFonts w:hint="eastAsia" w:asciiTheme="minorEastAsia" w:hAnsiTheme="minorEastAsia" w:eastAsiaTheme="minorEastAsia" w:cstheme="minorEastAsia"/>
                <w:sz w:val="21"/>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tc>
        <w:tc>
          <w:tcPr>
            <w:tcW w:w="1274"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 总则</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960" w:type="dxa"/>
            <w:vAlign w:val="top"/>
          </w:tcPr>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Q10.1;</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10.3；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J12.5</w:t>
            </w:r>
          </w:p>
        </w:tc>
        <w:tc>
          <w:tcPr>
            <w:tcW w:w="10315" w:type="dxa"/>
            <w:vAlign w:val="top"/>
          </w:tcPr>
          <w:p>
            <w:pPr>
              <w:tabs>
                <w:tab w:val="center" w:pos="3169"/>
              </w:tabs>
              <w:spacing w:line="36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系列程序文件《管理评审制度》、《内审管理制度》、《监视和测量管理制度》、《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公司制定《绩效考核管理制度》及《纠正措施管理制度》实施纠正措施，消除客户投诉的原因，以防止其再发生。</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对于客户投诉管理和机制健全。</w:t>
            </w:r>
          </w:p>
          <w:p>
            <w:pPr>
              <w:spacing w:line="360" w:lineRule="auto"/>
              <w:rPr>
                <w:rFonts w:hint="eastAsia"/>
              </w:rPr>
            </w:pPr>
            <w:r>
              <w:rPr>
                <w:rFonts w:hint="eastAsia" w:asciiTheme="minorEastAsia" w:hAnsiTheme="minorEastAsia" w:eastAsiaTheme="minorEastAsia" w:cstheme="minorEastAsia"/>
                <w:sz w:val="21"/>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274"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olor w:val="000000" w:themeColor="text1"/>
                <w:szCs w:val="24"/>
              </w:rPr>
              <w:t>国家/地方抽查、顾客满意、相关方投诉处理</w:t>
            </w:r>
          </w:p>
        </w:tc>
        <w:tc>
          <w:tcPr>
            <w:tcW w:w="960" w:type="dxa"/>
            <w:vAlign w:val="top"/>
          </w:tcPr>
          <w:p>
            <w:pPr>
              <w:spacing w:line="360" w:lineRule="auto"/>
              <w:ind w:firstLine="420" w:firstLineChars="200"/>
              <w:rPr>
                <w:rFonts w:hint="eastAsia" w:asciiTheme="minorEastAsia" w:hAnsiTheme="minorEastAsia" w:eastAsiaTheme="minorEastAsia" w:cstheme="minorEastAsia"/>
                <w:sz w:val="21"/>
                <w:szCs w:val="21"/>
              </w:rPr>
            </w:pPr>
          </w:p>
        </w:tc>
        <w:tc>
          <w:tcPr>
            <w:tcW w:w="10315" w:type="dxa"/>
            <w:vAlign w:val="top"/>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1274"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cs="Times New Roman" w:asciiTheme="minorEastAsia" w:hAnsiTheme="minorEastAsia" w:eastAsiaTheme="minorEastAsia"/>
                <w:color w:val="000000" w:themeColor="text1"/>
                <w:szCs w:val="24"/>
                <w:lang w:val="en-US" w:eastAsia="zh-CN"/>
              </w:rPr>
              <w:t>上次审核不符合项完成情况；证书、标志的使用情况等</w:t>
            </w:r>
          </w:p>
        </w:tc>
        <w:tc>
          <w:tcPr>
            <w:tcW w:w="960" w:type="dxa"/>
            <w:vAlign w:val="top"/>
          </w:tcPr>
          <w:p>
            <w:pPr>
              <w:spacing w:line="360" w:lineRule="auto"/>
              <w:rPr>
                <w:rFonts w:hint="eastAsia" w:asciiTheme="minorEastAsia" w:hAnsiTheme="minorEastAsia" w:eastAsiaTheme="minorEastAsia" w:cstheme="minorEastAsia"/>
                <w:sz w:val="21"/>
                <w:szCs w:val="21"/>
              </w:rPr>
            </w:pPr>
          </w:p>
        </w:tc>
        <w:tc>
          <w:tcPr>
            <w:tcW w:w="10315" w:type="dxa"/>
            <w:vAlign w:val="center"/>
          </w:tcPr>
          <w:p>
            <w:pPr>
              <w:spacing w:line="360" w:lineRule="auto"/>
              <w:rPr>
                <w:rFonts w:hint="eastAsia" w:cs="Times New Roman" w:asciiTheme="minorEastAsia" w:hAnsiTheme="minorEastAsia" w:eastAsiaTheme="minorEastAsia"/>
                <w:color w:val="000000" w:themeColor="text1"/>
                <w:szCs w:val="24"/>
                <w:lang w:val="en-US" w:eastAsia="zh-CN"/>
              </w:rPr>
            </w:pPr>
            <w:r>
              <w:rPr>
                <w:rFonts w:hint="eastAsia" w:cs="Times New Roman" w:asciiTheme="minorEastAsia" w:hAnsiTheme="minorEastAsia" w:eastAsiaTheme="minorEastAsia"/>
                <w:color w:val="000000" w:themeColor="text1"/>
                <w:szCs w:val="24"/>
                <w:lang w:val="en-US" w:eastAsia="zh-CN"/>
              </w:rPr>
              <w:t>与公司管理者代表沟通，企业对认证证书用于项目投标，未使用认证标志，对认证证书、标志的使用情况满足要求。</w:t>
            </w:r>
          </w:p>
          <w:p>
            <w:pPr>
              <w:spacing w:line="360" w:lineRule="auto"/>
              <w:rPr>
                <w:rFonts w:hint="eastAsia" w:asciiTheme="minorEastAsia" w:hAnsiTheme="minorEastAsia" w:eastAsiaTheme="minorEastAsia" w:cstheme="minorEastAsia"/>
                <w:sz w:val="21"/>
                <w:szCs w:val="21"/>
              </w:rPr>
            </w:pPr>
            <w:r>
              <w:rPr>
                <w:rFonts w:hint="eastAsia" w:cs="Times New Roman" w:asciiTheme="minorEastAsia" w:hAnsiTheme="minorEastAsia" w:eastAsiaTheme="minorEastAsia"/>
                <w:color w:val="000000" w:themeColor="text1"/>
                <w:szCs w:val="24"/>
                <w:lang w:val="en-US" w:eastAsia="zh-CN"/>
              </w:rPr>
              <w:t>验证了上次审核发现不符合项的整改情况，提供了整改记录，以及相关的培训记录，经验证，措施有效。</w:t>
            </w:r>
          </w:p>
        </w:tc>
        <w:tc>
          <w:tcPr>
            <w:tcW w:w="1274" w:type="dxa"/>
          </w:tcPr>
          <w:p>
            <w:pPr>
              <w:rPr>
                <w:rFonts w:hint="eastAsia"/>
                <w:lang w:val="en-US" w:eastAsia="zh-CN"/>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bookmarkStart w:id="2" w:name="_GoBack"/>
    <w:bookmarkEnd w:id="2"/>
    <w:r>
      <w:pict>
        <v:shape id="_x0000_s4097" o:spid="_x0000_s4097" o:spt="202" type="#_x0000_t202" style="position:absolute;left:0pt;margin-left:595.4pt;margin-top:1.25pt;height:20.2pt;width:100.4pt;z-index:251659264;mso-width-relative:page;mso-height-relative:page;" fillcolor="#FFFFFF" filled="t" stroked="f" coordsize="21600,21600">
          <v:path/>
          <v:fill on="t" color2="#FFFFFF" focussize="0,0"/>
          <v:stroke on="f"/>
          <v:imagedata o:title=""/>
          <o:lock v:ext="edit" aspectratio="f"/>
          <v:textbox>
            <w:txbxContent>
              <w:p>
                <w:pPr>
                  <w:rPr>
                    <w:sz w:val="18"/>
                    <w:szCs w:val="18"/>
                  </w:rPr>
                </w:pPr>
                <w:r>
                  <w:rPr>
                    <w:rFonts w:hint="eastAsia"/>
                    <w:sz w:val="18"/>
                    <w:szCs w:val="18"/>
                  </w:rPr>
                  <w:t>ISC-B-II-12(05版）</w:t>
                </w:r>
              </w:p>
            </w:txbxContent>
          </v:textbox>
        </v:shape>
      </w:pict>
    </w: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21F030DA"/>
    <w:rsid w:val="249D315A"/>
    <w:rsid w:val="34FD0552"/>
    <w:rsid w:val="4EBD0FDE"/>
    <w:rsid w:val="5D926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2022-08-29T07:24:32Z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18B563C6641D4B46B5D8C65C3A3DC881</vt:lpwstr>
  </property>
  <property fmtid="{D5CDD505-2E9C-101B-9397-08002B2CF9AE}" pid="3" name="KSOProductBuildVer">
    <vt:lpwstr>2052-11.1.0.12313</vt:lpwstr>
  </property>
</Properties>
</file>