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Cs/>
          <w:color w:val="000000"/>
          <w:sz w:val="24"/>
          <w:szCs w:val="24"/>
        </w:rPr>
      </w:pPr>
      <w:r>
        <w:rPr>
          <w:rFonts w:hint="eastAsia" w:ascii="楷体" w:hAnsi="楷体" w:eastAsia="楷体"/>
          <w:bCs/>
          <w:color w:val="000000"/>
          <w:sz w:val="24"/>
          <w:szCs w:val="24"/>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ascii="楷体" w:hAnsi="楷体" w:eastAsia="楷体" w:cs="宋体"/>
                <w:sz w:val="24"/>
                <w:szCs w:val="24"/>
              </w:rPr>
            </w:pPr>
            <w:r>
              <w:rPr>
                <w:rFonts w:hint="eastAsia" w:ascii="楷体" w:hAnsi="楷体" w:eastAsia="楷体" w:cs="宋体"/>
                <w:sz w:val="24"/>
                <w:szCs w:val="24"/>
              </w:rPr>
              <w:t>过程与活动、</w:t>
            </w:r>
          </w:p>
          <w:p>
            <w:pPr>
              <w:spacing w:line="360" w:lineRule="auto"/>
              <w:jc w:val="center"/>
              <w:rPr>
                <w:rFonts w:ascii="楷体" w:hAnsi="楷体" w:eastAsia="楷体" w:cs="宋体"/>
                <w:sz w:val="24"/>
                <w:szCs w:val="24"/>
              </w:rPr>
            </w:pPr>
            <w:r>
              <w:rPr>
                <w:rFonts w:hint="eastAsia" w:ascii="楷体" w:hAnsi="楷体" w:eastAsia="楷体" w:cs="宋体"/>
                <w:sz w:val="24"/>
                <w:szCs w:val="24"/>
              </w:rPr>
              <w:t>抽样计划</w:t>
            </w:r>
          </w:p>
        </w:tc>
        <w:tc>
          <w:tcPr>
            <w:tcW w:w="1228" w:type="dxa"/>
            <w:vMerge w:val="restart"/>
            <w:vAlign w:val="center"/>
          </w:tcPr>
          <w:p>
            <w:pPr>
              <w:spacing w:line="360" w:lineRule="auto"/>
              <w:rPr>
                <w:rFonts w:ascii="楷体" w:hAnsi="楷体" w:eastAsia="楷体" w:cs="宋体"/>
                <w:sz w:val="24"/>
                <w:szCs w:val="24"/>
              </w:rPr>
            </w:pPr>
            <w:r>
              <w:rPr>
                <w:rFonts w:hint="eastAsia" w:ascii="楷体" w:hAnsi="楷体" w:eastAsia="楷体" w:cs="宋体"/>
                <w:sz w:val="24"/>
                <w:szCs w:val="24"/>
              </w:rPr>
              <w:t>涉及</w:t>
            </w:r>
          </w:p>
          <w:p>
            <w:pPr>
              <w:spacing w:line="360" w:lineRule="auto"/>
              <w:rPr>
                <w:rFonts w:ascii="楷体" w:hAnsi="楷体" w:eastAsia="楷体" w:cs="宋体"/>
                <w:sz w:val="24"/>
                <w:szCs w:val="24"/>
              </w:rPr>
            </w:pPr>
            <w:r>
              <w:rPr>
                <w:rFonts w:hint="eastAsia" w:ascii="楷体" w:hAnsi="楷体" w:eastAsia="楷体" w:cs="宋体"/>
                <w:sz w:val="24"/>
                <w:szCs w:val="24"/>
              </w:rPr>
              <w:t>条款</w:t>
            </w:r>
          </w:p>
        </w:tc>
        <w:tc>
          <w:tcPr>
            <w:tcW w:w="10943" w:type="dxa"/>
            <w:vAlign w:val="center"/>
          </w:tcPr>
          <w:p>
            <w:pPr>
              <w:spacing w:line="360" w:lineRule="auto"/>
              <w:rPr>
                <w:rFonts w:hint="default" w:ascii="楷体" w:hAnsi="楷体" w:eastAsia="楷体" w:cs="宋体"/>
                <w:sz w:val="24"/>
                <w:szCs w:val="24"/>
                <w:lang w:val="en-US" w:eastAsia="zh-CN"/>
              </w:rPr>
            </w:pPr>
            <w:r>
              <w:rPr>
                <w:rFonts w:hint="eastAsia" w:ascii="楷体" w:hAnsi="楷体" w:eastAsia="楷体" w:cs="宋体"/>
                <w:sz w:val="24"/>
                <w:szCs w:val="24"/>
              </w:rPr>
              <w:t>受审核部门：管理层    总经理：王磊  管理者代表：</w:t>
            </w:r>
            <w:r>
              <w:rPr>
                <w:rFonts w:hint="eastAsia" w:ascii="楷体" w:hAnsi="楷体" w:eastAsia="楷体"/>
                <w:bCs/>
                <w:sz w:val="24"/>
                <w:szCs w:val="24"/>
              </w:rPr>
              <w:t>张福林  员工职业健康安全事务</w:t>
            </w:r>
            <w:r>
              <w:rPr>
                <w:rFonts w:hint="eastAsia" w:ascii="楷体" w:hAnsi="楷体" w:eastAsia="楷体"/>
                <w:sz w:val="24"/>
                <w:szCs w:val="24"/>
              </w:rPr>
              <w:t>代表</w:t>
            </w:r>
            <w:r>
              <w:rPr>
                <w:rFonts w:hint="eastAsia" w:ascii="楷体" w:hAnsi="楷体" w:eastAsia="楷体"/>
                <w:bCs/>
                <w:sz w:val="24"/>
                <w:szCs w:val="24"/>
              </w:rPr>
              <w:t>：</w:t>
            </w:r>
            <w:r>
              <w:rPr>
                <w:rFonts w:hint="eastAsia" w:ascii="楷体" w:hAnsi="楷体" w:eastAsia="楷体"/>
                <w:bCs/>
                <w:sz w:val="24"/>
                <w:szCs w:val="24"/>
                <w:lang w:val="en-US" w:eastAsia="zh-CN"/>
              </w:rPr>
              <w:t>周楸智</w:t>
            </w:r>
          </w:p>
        </w:tc>
        <w:tc>
          <w:tcPr>
            <w:tcW w:w="646" w:type="dxa"/>
            <w:vMerge w:val="restart"/>
            <w:vAlign w:val="center"/>
          </w:tcPr>
          <w:p>
            <w:pPr>
              <w:spacing w:line="360" w:lineRule="auto"/>
              <w:rPr>
                <w:rFonts w:ascii="楷体" w:hAnsi="楷体" w:eastAsia="楷体" w:cs="宋体"/>
                <w:sz w:val="24"/>
                <w:szCs w:val="24"/>
              </w:rPr>
            </w:pPr>
            <w:r>
              <w:rPr>
                <w:rFonts w:hint="eastAsia" w:ascii="楷体" w:hAnsi="楷体" w:eastAsia="楷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ascii="楷体" w:hAnsi="楷体" w:eastAsia="楷体" w:cs="宋体"/>
                <w:sz w:val="24"/>
                <w:szCs w:val="24"/>
              </w:rPr>
            </w:pPr>
          </w:p>
        </w:tc>
        <w:tc>
          <w:tcPr>
            <w:tcW w:w="1228" w:type="dxa"/>
            <w:vMerge w:val="continue"/>
            <w:vAlign w:val="center"/>
          </w:tcPr>
          <w:p>
            <w:pPr>
              <w:spacing w:line="360" w:lineRule="auto"/>
              <w:rPr>
                <w:rFonts w:ascii="楷体" w:hAnsi="楷体" w:eastAsia="楷体" w:cs="宋体"/>
                <w:sz w:val="24"/>
                <w:szCs w:val="24"/>
              </w:rPr>
            </w:pPr>
          </w:p>
        </w:tc>
        <w:tc>
          <w:tcPr>
            <w:tcW w:w="10943"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 xml:space="preserve">审核员： </w:t>
            </w:r>
            <w:r>
              <w:rPr>
                <w:rFonts w:hint="eastAsia" w:ascii="楷体" w:hAnsi="楷体" w:eastAsia="楷体" w:cs="宋体"/>
                <w:sz w:val="24"/>
                <w:szCs w:val="24"/>
                <w:lang w:val="en-US" w:eastAsia="zh-CN"/>
              </w:rPr>
              <w:t>李俐</w:t>
            </w:r>
            <w:r>
              <w:rPr>
                <w:rFonts w:hint="eastAsia" w:ascii="楷体" w:hAnsi="楷体" w:eastAsia="楷体" w:cs="宋体"/>
                <w:sz w:val="24"/>
                <w:szCs w:val="24"/>
              </w:rPr>
              <w:t xml:space="preserve">           审核时间：202</w:t>
            </w:r>
            <w:r>
              <w:rPr>
                <w:rFonts w:hint="eastAsia" w:ascii="楷体" w:hAnsi="楷体" w:eastAsia="楷体" w:cs="宋体"/>
                <w:sz w:val="24"/>
                <w:szCs w:val="24"/>
                <w:lang w:val="en-US" w:eastAsia="zh-CN"/>
              </w:rPr>
              <w:t>2</w:t>
            </w:r>
            <w:r>
              <w:rPr>
                <w:rFonts w:hint="eastAsia" w:ascii="楷体" w:hAnsi="楷体" w:eastAsia="楷体" w:cs="宋体"/>
                <w:sz w:val="24"/>
                <w:szCs w:val="24"/>
              </w:rPr>
              <w:t>年</w:t>
            </w:r>
            <w:r>
              <w:rPr>
                <w:rFonts w:hint="eastAsia" w:ascii="楷体" w:hAnsi="楷体" w:eastAsia="楷体" w:cs="宋体"/>
                <w:sz w:val="24"/>
                <w:szCs w:val="24"/>
                <w:lang w:val="en-US" w:eastAsia="zh-CN"/>
              </w:rPr>
              <w:t>8</w:t>
            </w:r>
            <w:r>
              <w:rPr>
                <w:rFonts w:hint="eastAsia" w:ascii="楷体" w:hAnsi="楷体" w:eastAsia="楷体" w:cs="宋体"/>
                <w:sz w:val="24"/>
                <w:szCs w:val="24"/>
              </w:rPr>
              <w:t>月</w:t>
            </w:r>
            <w:r>
              <w:rPr>
                <w:rFonts w:hint="eastAsia" w:ascii="楷体" w:hAnsi="楷体" w:eastAsia="楷体" w:cs="宋体"/>
                <w:sz w:val="24"/>
                <w:szCs w:val="24"/>
                <w:lang w:val="en-US" w:eastAsia="zh-CN"/>
              </w:rPr>
              <w:t>6</w:t>
            </w:r>
            <w:r>
              <w:rPr>
                <w:rFonts w:hint="eastAsia" w:ascii="楷体" w:hAnsi="楷体" w:eastAsia="楷体" w:cs="宋体"/>
                <w:sz w:val="24"/>
                <w:szCs w:val="24"/>
              </w:rPr>
              <w:t>日</w:t>
            </w:r>
          </w:p>
        </w:tc>
        <w:tc>
          <w:tcPr>
            <w:tcW w:w="646" w:type="dxa"/>
            <w:vMerge w:val="continue"/>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spacing w:line="360" w:lineRule="auto"/>
              <w:rPr>
                <w:rFonts w:ascii="楷体" w:hAnsi="楷体" w:eastAsia="楷体" w:cs="宋体"/>
                <w:sz w:val="24"/>
                <w:szCs w:val="24"/>
              </w:rPr>
            </w:pPr>
          </w:p>
        </w:tc>
        <w:tc>
          <w:tcPr>
            <w:tcW w:w="1228" w:type="dxa"/>
            <w:vMerge w:val="continue"/>
            <w:vAlign w:val="center"/>
          </w:tcPr>
          <w:p>
            <w:pPr>
              <w:spacing w:line="360" w:lineRule="auto"/>
              <w:rPr>
                <w:rFonts w:ascii="楷体" w:hAnsi="楷体" w:eastAsia="楷体" w:cs="宋体"/>
                <w:sz w:val="24"/>
                <w:szCs w:val="24"/>
              </w:rPr>
            </w:pPr>
          </w:p>
        </w:tc>
        <w:tc>
          <w:tcPr>
            <w:tcW w:w="10943" w:type="dxa"/>
            <w:vAlign w:val="center"/>
          </w:tcPr>
          <w:p>
            <w:pPr>
              <w:snapToGrid w:val="0"/>
              <w:rPr>
                <w:rFonts w:ascii="楷体" w:hAnsi="楷体" w:eastAsia="楷体"/>
                <w:sz w:val="24"/>
                <w:szCs w:val="24"/>
              </w:rPr>
            </w:pPr>
            <w:r>
              <w:rPr>
                <w:rFonts w:hint="eastAsia" w:ascii="楷体" w:hAnsi="楷体" w:eastAsia="楷体" w:cs="宋体"/>
                <w:sz w:val="24"/>
                <w:szCs w:val="24"/>
              </w:rPr>
              <w:t>审核</w:t>
            </w:r>
            <w:r>
              <w:rPr>
                <w:rFonts w:hint="eastAsia" w:ascii="楷体" w:hAnsi="楷体" w:eastAsia="楷体"/>
                <w:sz w:val="24"/>
                <w:szCs w:val="24"/>
              </w:rPr>
              <w:t>条款：</w:t>
            </w:r>
          </w:p>
          <w:p>
            <w:pPr>
              <w:adjustRightInd w:val="0"/>
              <w:snapToGrid w:val="0"/>
              <w:ind w:right="105" w:rightChars="50"/>
              <w:jc w:val="left"/>
              <w:textAlignment w:val="baseline"/>
              <w:rPr>
                <w:rFonts w:ascii="楷体" w:hAnsi="楷体" w:eastAsia="楷体"/>
                <w:sz w:val="24"/>
                <w:szCs w:val="24"/>
              </w:rPr>
            </w:pPr>
            <w:r>
              <w:rPr>
                <w:rFonts w:hint="eastAsia" w:ascii="楷体" w:hAnsi="楷体" w:eastAsia="楷体"/>
                <w:sz w:val="24"/>
                <w:szCs w:val="24"/>
              </w:rPr>
              <w:t>E/O:4.1理解组织及其环境、4.2理解相关方的需求和期望、4.3 确定管理体系的范围、4.4质量/环境/职业健康安全管理体系及其过程、5.1领导作用和承诺、5.2质量/环境/职业健康安全方针、5.3组织的岗位、职责和权限、O5.4协商和参与、6.1应对风险和机遇的措施、6.2质量/环境/职业健康安全目标及其实现的策划、Q6.3变更的策划、9.3管理评审、10.1改进、10.3持续改进，</w:t>
            </w:r>
          </w:p>
          <w:p>
            <w:pPr>
              <w:ind w:firstLine="480" w:firstLineChars="200"/>
              <w:jc w:val="left"/>
              <w:rPr>
                <w:rFonts w:ascii="楷体" w:hAnsi="楷体" w:eastAsia="楷体" w:cs="宋体"/>
                <w:sz w:val="24"/>
                <w:szCs w:val="24"/>
              </w:rPr>
            </w:pPr>
            <w:r>
              <w:rPr>
                <w:rFonts w:hint="eastAsia" w:ascii="楷体" w:hAnsi="楷体" w:eastAsia="楷体"/>
                <w:sz w:val="24"/>
                <w:szCs w:val="24"/>
              </w:rPr>
              <w:t>标准/规范/法规的执行情况、上次审核不符合项的验证、认证证书、标志的使用情况、投诉或事故、监督抽查情况、体系变动；</w:t>
            </w:r>
          </w:p>
        </w:tc>
        <w:tc>
          <w:tcPr>
            <w:tcW w:w="646" w:type="dxa"/>
            <w:vMerge w:val="continue"/>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楷体" w:hAnsi="楷体" w:eastAsia="楷体"/>
                <w:b/>
                <w:sz w:val="24"/>
                <w:szCs w:val="24"/>
              </w:rPr>
            </w:pPr>
            <w:r>
              <w:rPr>
                <w:rFonts w:hint="eastAsia" w:ascii="楷体" w:hAnsi="楷体" w:eastAsia="楷体"/>
                <w:sz w:val="24"/>
                <w:szCs w:val="24"/>
              </w:rPr>
              <w:t>企业基本信息</w:t>
            </w:r>
          </w:p>
        </w:tc>
        <w:tc>
          <w:tcPr>
            <w:tcW w:w="1228" w:type="dxa"/>
            <w:vAlign w:val="center"/>
          </w:tcPr>
          <w:p>
            <w:pPr>
              <w:spacing w:line="360" w:lineRule="auto"/>
              <w:rPr>
                <w:rFonts w:ascii="楷体" w:hAnsi="楷体" w:eastAsia="楷体"/>
                <w:b/>
                <w:sz w:val="24"/>
                <w:szCs w:val="24"/>
              </w:rPr>
            </w:pPr>
          </w:p>
        </w:tc>
        <w:tc>
          <w:tcPr>
            <w:tcW w:w="10943" w:type="dxa"/>
            <w:vAlign w:val="center"/>
          </w:tcPr>
          <w:p>
            <w:pPr>
              <w:spacing w:line="360" w:lineRule="auto"/>
              <w:rPr>
                <w:rFonts w:ascii="楷体" w:hAnsi="楷体" w:eastAsia="楷体"/>
                <w:sz w:val="24"/>
                <w:szCs w:val="24"/>
              </w:rPr>
            </w:pPr>
            <w:r>
              <w:rPr>
                <w:rFonts w:hint="eastAsia" w:ascii="楷体" w:hAnsi="楷体" w:eastAsia="楷体"/>
                <w:sz w:val="24"/>
                <w:szCs w:val="24"/>
              </w:rPr>
              <w:t xml:space="preserve">面谈人员：总经理：王磊    管代：张福林 </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大庆市三星机械制造有限公司，成立于1999年9月，法人代表王磊 ，注册地址：黑龙江省大庆市高新技术开发区宏伟园区孵化器3号 ；经营地址：黑龙江省大庆市高新技术开发区宏伟园区孵化器3号。</w:t>
            </w:r>
          </w:p>
          <w:p>
            <w:pPr>
              <w:spacing w:line="360" w:lineRule="auto"/>
              <w:rPr>
                <w:rFonts w:ascii="楷体" w:hAnsi="楷体" w:eastAsia="楷体"/>
                <w:sz w:val="24"/>
                <w:szCs w:val="24"/>
              </w:rPr>
            </w:pPr>
            <w:r>
              <w:rPr>
                <w:rFonts w:hint="eastAsia" w:ascii="楷体" w:hAnsi="楷体" w:eastAsia="楷体"/>
                <w:sz w:val="24"/>
                <w:szCs w:val="24"/>
              </w:rPr>
              <w:t>经营范围：石油化工设备及配件的制造、销售、维修:仪器仪表的开发及销售;工业自动控制系统装置制造销售及技术开发:阀门及配件修复:电机修理:五金工具、金属材料(稀贵金属除外)、橡胶制品、化工产品(不含危险化学品)销售;压力容器的制造;设备工艺管线安装改造及堵漏:变压器焊接器材维修:聚丙烯酰胺专用设备生产;机械设备租货;化工生产专用设备修理及技术服务;石油钻采技术开发及技术服务;压力管道元件制造;金属密封件、石油钻采专用设备及配件、水处理设备及配件、泵及配件、紧固件、环境保护专用设备技术开发、维修及销售。(依法须经批准的项目，经相关部门批准后方可开展经营活动)。</w:t>
            </w:r>
          </w:p>
          <w:p>
            <w:pPr>
              <w:spacing w:line="360" w:lineRule="auto"/>
              <w:rPr>
                <w:rFonts w:ascii="楷体" w:hAnsi="楷体" w:eastAsia="楷体"/>
                <w:sz w:val="24"/>
                <w:szCs w:val="24"/>
              </w:rPr>
            </w:pPr>
            <w:r>
              <w:rPr>
                <w:rFonts w:hint="eastAsia" w:ascii="楷体" w:hAnsi="楷体" w:eastAsia="楷体"/>
                <w:sz w:val="24"/>
                <w:szCs w:val="24"/>
              </w:rPr>
              <w:t>提供了组织营业执照均为有效。</w:t>
            </w:r>
          </w:p>
        </w:tc>
        <w:tc>
          <w:tcPr>
            <w:tcW w:w="646"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楷体" w:hAnsi="楷体" w:eastAsia="楷体"/>
                <w:b/>
                <w:sz w:val="24"/>
                <w:szCs w:val="24"/>
              </w:rPr>
            </w:pPr>
            <w:r>
              <w:rPr>
                <w:rFonts w:hint="eastAsia" w:ascii="楷体" w:hAnsi="楷体" w:eastAsia="楷体"/>
                <w:sz w:val="24"/>
                <w:szCs w:val="24"/>
              </w:rPr>
              <w:t>领导作用和承诺、组织的岗位职责和权限</w:t>
            </w:r>
          </w:p>
        </w:tc>
        <w:tc>
          <w:tcPr>
            <w:tcW w:w="1228" w:type="dxa"/>
            <w:vAlign w:val="center"/>
          </w:tcPr>
          <w:p>
            <w:pPr>
              <w:spacing w:line="360" w:lineRule="auto"/>
              <w:rPr>
                <w:rFonts w:ascii="楷体" w:hAnsi="楷体" w:eastAsia="楷体"/>
                <w:b/>
                <w:sz w:val="24"/>
                <w:szCs w:val="24"/>
              </w:rPr>
            </w:pPr>
            <w:r>
              <w:rPr>
                <w:rFonts w:hint="eastAsia" w:ascii="楷体" w:hAnsi="楷体" w:eastAsia="楷体"/>
                <w:sz w:val="24"/>
                <w:szCs w:val="24"/>
              </w:rPr>
              <w:t xml:space="preserve">E/S：5.1，5.3   </w:t>
            </w:r>
          </w:p>
        </w:tc>
        <w:tc>
          <w:tcPr>
            <w:tcW w:w="10943"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2019年1月5日对《质量/环境/职业健康安全管理手册》进行了修订，职业健康安全管理体系采用了新版ISO45001:2018，按公司组织机构：行政部、技术部、生产部和供销部，对部门及其职责进行了规定，编制了岗位职责汇编，以文件上发的形式沟通各部门的职责及各部门之间工作的联系。</w:t>
            </w:r>
          </w:p>
          <w:p>
            <w:pPr>
              <w:spacing w:line="360" w:lineRule="auto"/>
              <w:ind w:firstLine="480" w:firstLineChars="200"/>
              <w:rPr>
                <w:rFonts w:ascii="楷体" w:hAnsi="楷体" w:eastAsia="楷体"/>
                <w:color w:val="000000"/>
                <w:sz w:val="24"/>
                <w:szCs w:val="24"/>
              </w:rPr>
            </w:pPr>
            <w:r>
              <w:rPr>
                <w:rFonts w:hint="eastAsia" w:ascii="楷体" w:hAnsi="楷体" w:eastAsia="楷体"/>
                <w:sz w:val="24"/>
                <w:szCs w:val="24"/>
              </w:rPr>
              <w:t>总经理王磊，主要负责公司全面工作，</w:t>
            </w:r>
            <w:r>
              <w:rPr>
                <w:rFonts w:hint="eastAsia" w:ascii="楷体" w:hAnsi="楷体" w:eastAsia="楷体"/>
                <w:color w:val="000000"/>
                <w:sz w:val="24"/>
                <w:szCs w:val="24"/>
              </w:rPr>
              <w:t>日常主要侧重于公司财务及市场工作，根据体系的要求，负责组织制定方针、目标，管理评审等工作；</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管代张福林，主要负责公司产品的生产组织、行政及体系工作。</w:t>
            </w:r>
          </w:p>
          <w:p>
            <w:pPr>
              <w:spacing w:line="360" w:lineRule="auto"/>
              <w:rPr>
                <w:rFonts w:ascii="楷体" w:hAnsi="楷体" w:eastAsia="楷体"/>
                <w:sz w:val="24"/>
                <w:szCs w:val="24"/>
              </w:rPr>
            </w:pPr>
            <w:r>
              <w:rPr>
                <w:rFonts w:hint="eastAsia" w:ascii="楷体" w:hAnsi="楷体" w:eastAsia="楷体"/>
                <w:sz w:val="24"/>
                <w:szCs w:val="24"/>
              </w:rPr>
              <w:t>1、确保本公司三体系所需的过程得到建立、实施和保持；</w:t>
            </w:r>
          </w:p>
          <w:p>
            <w:pPr>
              <w:spacing w:line="360" w:lineRule="auto"/>
              <w:rPr>
                <w:rFonts w:ascii="楷体" w:hAnsi="楷体" w:eastAsia="楷体"/>
                <w:sz w:val="24"/>
                <w:szCs w:val="24"/>
              </w:rPr>
            </w:pPr>
            <w:r>
              <w:rPr>
                <w:rFonts w:hint="eastAsia" w:ascii="楷体" w:hAnsi="楷体" w:eastAsia="楷体"/>
                <w:sz w:val="24"/>
                <w:szCs w:val="24"/>
              </w:rPr>
              <w:t>2、向总经理报告体系运行的业绩，包括改进的需求；</w:t>
            </w:r>
          </w:p>
          <w:p>
            <w:pPr>
              <w:spacing w:line="360" w:lineRule="auto"/>
              <w:rPr>
                <w:rFonts w:ascii="楷体" w:hAnsi="楷体" w:eastAsia="楷体"/>
                <w:sz w:val="24"/>
                <w:szCs w:val="24"/>
              </w:rPr>
            </w:pPr>
            <w:r>
              <w:rPr>
                <w:rFonts w:hint="eastAsia" w:ascii="楷体" w:hAnsi="楷体" w:eastAsia="楷体"/>
                <w:sz w:val="24"/>
                <w:szCs w:val="24"/>
              </w:rPr>
              <w:t>3、在全公司范围内促进满足顾客要求意识、环境保护意识、职业健康安全意识的形成和提高；就体系有关事宜对外联系。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总经理主持建立了环境、职业健康安全管理体系，对管理体系的运行和保持进行了适当的授权，提供了必需的资源，能履行其管理承诺。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经交流总经理和管代熟悉管理体系的基本运行情况，比较重视体系建设。</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组织从开始运行以来，组织了内审员及体系相关知识的培训，识别了生产的过程及其相互关系，企业提供编号：SX/QEOM. SC-2019 《质量/环境/职业健康安全管理手册》B版，依据GB/T19001-2016/ISO9001:2015、GB/T24001-2016/IS014001:2015、ISO45001:2018标准。2019.1.5发布，2019.1.5实施；总经理王磊批准。任命管代：张福林；职业健康安全事务代表：</w:t>
            </w:r>
            <w:r>
              <w:rPr>
                <w:rFonts w:hint="eastAsia" w:ascii="楷体" w:hAnsi="楷体" w:eastAsia="楷体"/>
                <w:bCs/>
                <w:sz w:val="24"/>
                <w:szCs w:val="24"/>
                <w:lang w:val="en-US" w:eastAsia="zh-CN"/>
              </w:rPr>
              <w:t>周楸智</w:t>
            </w:r>
            <w:r>
              <w:rPr>
                <w:rFonts w:hint="eastAsia" w:ascii="楷体" w:hAnsi="楷体" w:eastAsia="楷体"/>
                <w:sz w:val="24"/>
                <w:szCs w:val="24"/>
              </w:rPr>
              <w:t>。</w:t>
            </w:r>
          </w:p>
        </w:tc>
        <w:tc>
          <w:tcPr>
            <w:tcW w:w="646"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楷体" w:hAnsi="楷体" w:eastAsia="楷体"/>
                <w:b/>
                <w:sz w:val="24"/>
                <w:szCs w:val="24"/>
              </w:rPr>
            </w:pPr>
            <w:r>
              <w:rPr>
                <w:rFonts w:hint="eastAsia" w:ascii="楷体" w:hAnsi="楷体" w:eastAsia="楷体"/>
                <w:sz w:val="24"/>
                <w:szCs w:val="24"/>
              </w:rPr>
              <w:t>理解组织及其环境</w:t>
            </w:r>
          </w:p>
        </w:tc>
        <w:tc>
          <w:tcPr>
            <w:tcW w:w="1228" w:type="dxa"/>
            <w:vAlign w:val="center"/>
          </w:tcPr>
          <w:p>
            <w:pPr>
              <w:spacing w:line="360" w:lineRule="auto"/>
              <w:rPr>
                <w:rFonts w:ascii="楷体" w:hAnsi="楷体" w:eastAsia="楷体"/>
                <w:b/>
                <w:sz w:val="24"/>
                <w:szCs w:val="24"/>
              </w:rPr>
            </w:pPr>
            <w:r>
              <w:rPr>
                <w:rFonts w:hint="eastAsia" w:ascii="楷体" w:hAnsi="楷体" w:eastAsia="楷体"/>
                <w:sz w:val="24"/>
                <w:szCs w:val="24"/>
              </w:rPr>
              <w:t>E/S4.1</w:t>
            </w:r>
          </w:p>
        </w:tc>
        <w:tc>
          <w:tcPr>
            <w:tcW w:w="10943"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提供《</w:t>
            </w:r>
            <w:r>
              <w:rPr>
                <w:rFonts w:hint="eastAsia" w:ascii="楷体" w:hAnsi="楷体" w:eastAsia="楷体"/>
                <w:sz w:val="24"/>
                <w:szCs w:val="24"/>
              </w:rPr>
              <w:t>SX/QEOM. SC-2019</w:t>
            </w:r>
            <w:r>
              <w:rPr>
                <w:rFonts w:hint="eastAsia" w:ascii="楷体" w:hAnsi="楷体" w:eastAsia="楷体"/>
                <w:color w:val="000000"/>
                <w:sz w:val="24"/>
                <w:szCs w:val="24"/>
              </w:rPr>
              <w:t>《</w:t>
            </w:r>
            <w:r>
              <w:rPr>
                <w:rFonts w:hint="eastAsia" w:ascii="楷体" w:hAnsi="楷体" w:eastAsia="楷体"/>
                <w:sz w:val="24"/>
                <w:szCs w:val="24"/>
              </w:rPr>
              <w:t>质量/环境/职业健康安全管理手册</w:t>
            </w:r>
            <w:r>
              <w:rPr>
                <w:rFonts w:hint="eastAsia" w:ascii="楷体" w:hAnsi="楷体" w:eastAsia="楷体"/>
                <w:color w:val="000000"/>
                <w:sz w:val="24"/>
                <w:szCs w:val="24"/>
              </w:rPr>
              <w:t xml:space="preserve">》》，对公司地理位置、国内市场地位、法律法规要求、公司内部文化观价值观、内外部环境变化等均作出描述。 </w:t>
            </w:r>
          </w:p>
          <w:p>
            <w:pPr>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提供有《组织的内外重要环境因素分析表》，识别了相关内容，未发生变化。</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楷体" w:hAnsi="楷体" w:eastAsia="楷体"/>
                <w:b/>
                <w:sz w:val="24"/>
                <w:szCs w:val="24"/>
              </w:rPr>
            </w:pPr>
            <w:r>
              <w:rPr>
                <w:rFonts w:hint="eastAsia" w:ascii="楷体" w:hAnsi="楷体" w:eastAsia="楷体"/>
                <w:sz w:val="24"/>
                <w:szCs w:val="24"/>
              </w:rPr>
              <w:t>理解相关方的需求和期望</w:t>
            </w:r>
          </w:p>
        </w:tc>
        <w:tc>
          <w:tcPr>
            <w:tcW w:w="1228" w:type="dxa"/>
            <w:vAlign w:val="center"/>
          </w:tcPr>
          <w:p>
            <w:pPr>
              <w:spacing w:line="360" w:lineRule="auto"/>
              <w:rPr>
                <w:rFonts w:ascii="楷体" w:hAnsi="楷体" w:eastAsia="楷体"/>
                <w:sz w:val="24"/>
                <w:szCs w:val="24"/>
              </w:rPr>
            </w:pPr>
            <w:r>
              <w:rPr>
                <w:rFonts w:hint="eastAsia" w:ascii="楷体" w:hAnsi="楷体" w:eastAsia="楷体"/>
                <w:sz w:val="24"/>
                <w:szCs w:val="24"/>
              </w:rPr>
              <w:t>ES：4.2</w:t>
            </w:r>
          </w:p>
        </w:tc>
        <w:tc>
          <w:tcPr>
            <w:tcW w:w="10943" w:type="dxa"/>
            <w:vAlign w:val="center"/>
          </w:tcPr>
          <w:p>
            <w:pPr>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提供“组织的相关方需求和期望调查表”，相关方包括顾客、股东、员工、供应商、竞争对手、社会团体等。相关方期望和要求为价格、环保、安全性、合同协议、行业规范标准等。未发生变化</w:t>
            </w:r>
            <w:r>
              <w:rPr>
                <w:rFonts w:hint="eastAsia" w:ascii="楷体" w:hAnsi="楷体" w:eastAsia="楷体"/>
                <w:sz w:val="24"/>
                <w:szCs w:val="24"/>
                <w:lang w:val="zh-CN"/>
              </w:rPr>
              <w:t>。</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楷体" w:hAnsi="楷体" w:eastAsia="楷体"/>
                <w:sz w:val="24"/>
                <w:szCs w:val="24"/>
              </w:rPr>
            </w:pPr>
            <w:r>
              <w:rPr>
                <w:rFonts w:hint="eastAsia" w:ascii="楷体" w:hAnsi="楷体" w:eastAsia="楷体"/>
                <w:sz w:val="24"/>
                <w:szCs w:val="24"/>
              </w:rPr>
              <w:t>质量/环境/职业健康安全/职业健康安全管理体系的范围</w:t>
            </w:r>
          </w:p>
        </w:tc>
        <w:tc>
          <w:tcPr>
            <w:tcW w:w="1228" w:type="dxa"/>
            <w:vAlign w:val="center"/>
          </w:tcPr>
          <w:p>
            <w:pPr>
              <w:spacing w:line="360" w:lineRule="auto"/>
              <w:rPr>
                <w:rFonts w:ascii="楷体" w:hAnsi="楷体" w:eastAsia="楷体" w:cs="Arial"/>
                <w:bCs/>
                <w:sz w:val="24"/>
                <w:szCs w:val="24"/>
              </w:rPr>
            </w:pPr>
            <w:r>
              <w:rPr>
                <w:rFonts w:hint="eastAsia" w:ascii="楷体" w:hAnsi="楷体" w:eastAsia="楷体" w:cs="Arial"/>
                <w:bCs/>
                <w:sz w:val="24"/>
                <w:szCs w:val="24"/>
              </w:rPr>
              <w:t xml:space="preserve">E/S4.3 </w:t>
            </w:r>
          </w:p>
          <w:p>
            <w:pPr>
              <w:spacing w:line="360" w:lineRule="auto"/>
              <w:rPr>
                <w:rFonts w:ascii="楷体" w:hAnsi="楷体" w:eastAsia="楷体" w:cs="Arial"/>
                <w:bCs/>
                <w:sz w:val="24"/>
                <w:szCs w:val="24"/>
              </w:rPr>
            </w:pPr>
            <w:r>
              <w:rPr>
                <w:rFonts w:hint="eastAsia" w:ascii="楷体" w:hAnsi="楷体" w:eastAsia="楷体" w:cs="Arial"/>
                <w:bCs/>
                <w:sz w:val="24"/>
                <w:szCs w:val="24"/>
              </w:rPr>
              <w:t xml:space="preserve"> </w:t>
            </w:r>
          </w:p>
        </w:tc>
        <w:tc>
          <w:tcPr>
            <w:tcW w:w="10943" w:type="dxa"/>
            <w:vAlign w:val="center"/>
          </w:tcPr>
          <w:p>
            <w:pPr>
              <w:spacing w:line="360" w:lineRule="auto"/>
              <w:jc w:val="left"/>
              <w:rPr>
                <w:rFonts w:ascii="楷体" w:hAnsi="楷体" w:eastAsia="楷体" w:cs="Arial"/>
                <w:bCs/>
                <w:sz w:val="24"/>
                <w:szCs w:val="24"/>
              </w:rPr>
            </w:pPr>
            <w:r>
              <w:rPr>
                <w:rFonts w:ascii="楷体" w:hAnsi="楷体" w:eastAsia="楷体" w:cs="Arial"/>
                <w:bCs/>
                <w:sz w:val="24"/>
                <w:szCs w:val="24"/>
              </w:rPr>
              <w:t>经确认企业的管理体系</w:t>
            </w:r>
            <w:r>
              <w:rPr>
                <w:rFonts w:hint="eastAsia" w:ascii="楷体" w:hAnsi="楷体" w:eastAsia="楷体" w:cs="Arial"/>
                <w:bCs/>
                <w:sz w:val="24"/>
                <w:szCs w:val="24"/>
              </w:rPr>
              <w:t>范围</w:t>
            </w:r>
            <w:r>
              <w:rPr>
                <w:rFonts w:hint="eastAsia" w:ascii="楷体" w:hAnsi="楷体" w:eastAsia="楷体" w:cs="Arial"/>
                <w:bCs/>
                <w:sz w:val="24"/>
                <w:szCs w:val="24"/>
                <w:lang w:val="en-US" w:eastAsia="zh-CN"/>
              </w:rPr>
              <w:t>为</w:t>
            </w:r>
            <w:r>
              <w:rPr>
                <w:rFonts w:hint="eastAsia" w:ascii="楷体" w:hAnsi="楷体" w:eastAsia="楷体" w:cs="Arial"/>
                <w:bCs/>
                <w:sz w:val="24"/>
                <w:szCs w:val="24"/>
              </w:rPr>
              <w:t>：</w:t>
            </w:r>
          </w:p>
          <w:p>
            <w:pPr>
              <w:spacing w:line="360" w:lineRule="auto"/>
              <w:rPr>
                <w:rFonts w:hint="eastAsia" w:ascii="楷体" w:hAnsi="楷体" w:eastAsia="楷体" w:cs="楷体"/>
                <w:sz w:val="24"/>
                <w:szCs w:val="24"/>
              </w:rPr>
            </w:pPr>
            <w:bookmarkStart w:id="0" w:name="审核范围"/>
            <w:r>
              <w:rPr>
                <w:rFonts w:hint="eastAsia" w:ascii="楷体" w:hAnsi="楷体" w:eastAsia="楷体" w:cs="楷体"/>
                <w:sz w:val="24"/>
                <w:szCs w:val="24"/>
              </w:rPr>
              <w:t>E：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环境管理活动。</w:t>
            </w:r>
          </w:p>
          <w:p>
            <w:pPr>
              <w:spacing w:line="360" w:lineRule="auto"/>
              <w:rPr>
                <w:rFonts w:ascii="楷体" w:hAnsi="楷体" w:eastAsia="楷体" w:cs="Arial"/>
                <w:bCs/>
                <w:sz w:val="24"/>
                <w:szCs w:val="24"/>
              </w:rPr>
            </w:pPr>
            <w:r>
              <w:rPr>
                <w:rFonts w:hint="eastAsia" w:ascii="楷体" w:hAnsi="楷体" w:eastAsia="楷体" w:cs="楷体"/>
                <w:sz w:val="24"/>
                <w:szCs w:val="24"/>
              </w:rPr>
              <w:t>O：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职业健康安全管理活动。</w:t>
            </w:r>
            <w:bookmarkEnd w:id="0"/>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楷体" w:hAnsi="楷体" w:eastAsia="楷体"/>
                <w:sz w:val="24"/>
                <w:szCs w:val="24"/>
              </w:rPr>
            </w:pPr>
            <w:r>
              <w:rPr>
                <w:rFonts w:hint="eastAsia" w:ascii="楷体" w:hAnsi="楷体" w:eastAsia="楷体"/>
                <w:sz w:val="24"/>
                <w:szCs w:val="24"/>
              </w:rPr>
              <w:t>质量/环境/职业健康安全管理体系及其过程</w:t>
            </w:r>
          </w:p>
        </w:tc>
        <w:tc>
          <w:tcPr>
            <w:tcW w:w="1228" w:type="dxa"/>
            <w:vAlign w:val="center"/>
          </w:tcPr>
          <w:p>
            <w:pPr>
              <w:spacing w:line="360" w:lineRule="auto"/>
              <w:rPr>
                <w:rFonts w:ascii="楷体" w:hAnsi="楷体" w:eastAsia="楷体"/>
                <w:sz w:val="24"/>
                <w:szCs w:val="24"/>
              </w:rPr>
            </w:pPr>
            <w:r>
              <w:rPr>
                <w:rFonts w:hint="eastAsia" w:ascii="楷体" w:hAnsi="楷体" w:eastAsia="楷体"/>
                <w:sz w:val="24"/>
                <w:szCs w:val="24"/>
              </w:rPr>
              <w:t xml:space="preserve">E/S4.4  </w:t>
            </w:r>
          </w:p>
          <w:p>
            <w:pPr>
              <w:spacing w:line="360" w:lineRule="auto"/>
              <w:rPr>
                <w:rFonts w:ascii="楷体" w:hAnsi="楷体" w:eastAsia="楷体"/>
                <w:sz w:val="24"/>
                <w:szCs w:val="24"/>
              </w:rPr>
            </w:pPr>
            <w:r>
              <w:rPr>
                <w:rFonts w:hint="eastAsia" w:ascii="楷体" w:hAnsi="楷体" w:eastAsia="楷体"/>
                <w:sz w:val="24"/>
                <w:szCs w:val="24"/>
              </w:rPr>
              <w:t xml:space="preserve"> </w:t>
            </w:r>
          </w:p>
        </w:tc>
        <w:tc>
          <w:tcPr>
            <w:tcW w:w="10943"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 GB/T19001-2016 、GB/T24001-2016和ISO45001：2018 标准的要求识别了质量/环境/职业健康安全管理所需的过程及相互作用，识别了质量和环境、职业健康安全管理体系涉及的各个过程。</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892" w:type="dxa"/>
            <w:vAlign w:val="center"/>
          </w:tcPr>
          <w:p>
            <w:pPr>
              <w:spacing w:line="360" w:lineRule="auto"/>
              <w:rPr>
                <w:rFonts w:ascii="楷体" w:hAnsi="楷体" w:eastAsia="楷体"/>
                <w:sz w:val="24"/>
                <w:szCs w:val="24"/>
              </w:rPr>
            </w:pPr>
            <w:r>
              <w:rPr>
                <w:rFonts w:hint="eastAsia" w:ascii="楷体" w:hAnsi="楷体" w:eastAsia="楷体"/>
                <w:sz w:val="24"/>
                <w:szCs w:val="24"/>
              </w:rPr>
              <w:t>方针</w:t>
            </w:r>
          </w:p>
        </w:tc>
        <w:tc>
          <w:tcPr>
            <w:tcW w:w="1228" w:type="dxa"/>
            <w:vAlign w:val="center"/>
          </w:tcPr>
          <w:p>
            <w:pPr>
              <w:spacing w:line="360" w:lineRule="auto"/>
              <w:rPr>
                <w:rFonts w:ascii="楷体" w:hAnsi="楷体" w:eastAsia="楷体"/>
                <w:sz w:val="24"/>
                <w:szCs w:val="24"/>
              </w:rPr>
            </w:pPr>
            <w:r>
              <w:rPr>
                <w:rFonts w:hint="eastAsia" w:ascii="楷体" w:hAnsi="楷体" w:eastAsia="楷体"/>
                <w:sz w:val="24"/>
                <w:szCs w:val="24"/>
              </w:rPr>
              <w:t>E/S5.2</w:t>
            </w:r>
          </w:p>
          <w:p>
            <w:pPr>
              <w:spacing w:line="360" w:lineRule="auto"/>
              <w:rPr>
                <w:rFonts w:ascii="楷体" w:hAnsi="楷体" w:eastAsia="楷体"/>
                <w:sz w:val="24"/>
                <w:szCs w:val="24"/>
              </w:rPr>
            </w:pPr>
            <w:r>
              <w:rPr>
                <w:rFonts w:hint="eastAsia" w:ascii="楷体" w:hAnsi="楷体" w:eastAsia="楷体"/>
                <w:sz w:val="24"/>
                <w:szCs w:val="24"/>
              </w:rPr>
              <w:t xml:space="preserve"> </w:t>
            </w:r>
          </w:p>
        </w:tc>
        <w:tc>
          <w:tcPr>
            <w:tcW w:w="10943" w:type="dxa"/>
            <w:vAlign w:val="center"/>
          </w:tcPr>
          <w:p>
            <w:pPr>
              <w:spacing w:line="360" w:lineRule="auto"/>
              <w:rPr>
                <w:rFonts w:ascii="楷体" w:hAnsi="楷体" w:eastAsia="楷体"/>
                <w:sz w:val="24"/>
                <w:szCs w:val="24"/>
              </w:rPr>
            </w:pPr>
            <w:r>
              <w:rPr>
                <w:rFonts w:hint="eastAsia" w:ascii="楷体" w:hAnsi="楷体" w:eastAsia="楷体"/>
                <w:sz w:val="24"/>
                <w:szCs w:val="24"/>
              </w:rPr>
              <w:t>企业已经制定质量、环境、职业健康安全方针，具体包含在《管理手册》，</w:t>
            </w:r>
          </w:p>
          <w:p>
            <w:pPr>
              <w:tabs>
                <w:tab w:val="right" w:pos="8306"/>
              </w:tabs>
              <w:spacing w:line="360" w:lineRule="auto"/>
              <w:ind w:firstLine="480" w:firstLineChars="200"/>
              <w:rPr>
                <w:rFonts w:ascii="楷体" w:hAnsi="楷体" w:eastAsia="楷体"/>
                <w:sz w:val="24"/>
                <w:szCs w:val="24"/>
              </w:rPr>
            </w:pPr>
            <w:r>
              <w:rPr>
                <w:rFonts w:hint="eastAsia" w:ascii="楷体" w:hAnsi="楷体" w:eastAsia="楷体"/>
                <w:sz w:val="24"/>
                <w:szCs w:val="24"/>
              </w:rPr>
              <w:t>公司的质量、环境、职业健康安全方针没有变化：</w:t>
            </w:r>
          </w:p>
          <w:p>
            <w:pPr>
              <w:spacing w:line="360" w:lineRule="auto"/>
              <w:ind w:firstLine="590" w:firstLineChars="246"/>
              <w:rPr>
                <w:rFonts w:ascii="楷体" w:hAnsi="楷体" w:eastAsia="楷体"/>
                <w:sz w:val="24"/>
                <w:szCs w:val="24"/>
              </w:rPr>
            </w:pPr>
            <w:r>
              <w:rPr>
                <w:rFonts w:hint="eastAsia" w:ascii="楷体" w:hAnsi="楷体" w:eastAsia="楷体"/>
                <w:sz w:val="24"/>
                <w:szCs w:val="24"/>
              </w:rPr>
              <w:t>公司的环境、职业健康安全方针：</w:t>
            </w:r>
          </w:p>
          <w:p>
            <w:pPr>
              <w:spacing w:line="360" w:lineRule="auto"/>
              <w:ind w:firstLine="590" w:firstLineChars="246"/>
              <w:rPr>
                <w:rFonts w:ascii="楷体" w:hAnsi="楷体" w:eastAsia="楷体"/>
                <w:sz w:val="24"/>
                <w:szCs w:val="24"/>
              </w:rPr>
            </w:pPr>
            <w:r>
              <w:rPr>
                <w:rFonts w:hint="eastAsia" w:ascii="楷体" w:hAnsi="楷体" w:eastAsia="楷体"/>
                <w:sz w:val="24"/>
                <w:szCs w:val="24"/>
              </w:rPr>
              <w:t>遵纪守法，重视效益，防治污染，持续发展；</w:t>
            </w:r>
          </w:p>
          <w:p>
            <w:pPr>
              <w:tabs>
                <w:tab w:val="right" w:pos="8306"/>
              </w:tabs>
              <w:spacing w:line="360" w:lineRule="auto"/>
              <w:ind w:firstLine="720" w:firstLineChars="300"/>
              <w:rPr>
                <w:rFonts w:ascii="楷体" w:hAnsi="楷体" w:eastAsia="楷体"/>
                <w:sz w:val="24"/>
                <w:szCs w:val="24"/>
              </w:rPr>
            </w:pPr>
            <w:r>
              <w:rPr>
                <w:rFonts w:hint="eastAsia" w:ascii="楷体" w:hAnsi="楷体" w:eastAsia="楷体"/>
                <w:sz w:val="24"/>
                <w:szCs w:val="24"/>
              </w:rPr>
              <w:t>以人为本，遵纪守法，预防危害，持续改进。</w:t>
            </w:r>
          </w:p>
          <w:p>
            <w:pPr>
              <w:spacing w:line="360" w:lineRule="auto"/>
              <w:rPr>
                <w:rFonts w:ascii="楷体" w:hAnsi="楷体" w:eastAsia="楷体"/>
                <w:sz w:val="24"/>
                <w:szCs w:val="24"/>
              </w:rPr>
            </w:pPr>
            <w:r>
              <w:rPr>
                <w:rFonts w:hint="eastAsia" w:ascii="楷体" w:hAnsi="楷体" w:eastAsia="楷体"/>
                <w:sz w:val="24"/>
                <w:szCs w:val="24"/>
              </w:rPr>
              <w:t>查领导层参与制定管理体系方针的情况，是否熟悉组织的管理体系方针内容、含义：</w:t>
            </w:r>
          </w:p>
          <w:p>
            <w:pPr>
              <w:spacing w:line="360" w:lineRule="auto"/>
              <w:rPr>
                <w:rFonts w:ascii="楷体" w:hAnsi="楷体" w:eastAsia="楷体"/>
                <w:sz w:val="24"/>
                <w:szCs w:val="24"/>
              </w:rPr>
            </w:pPr>
            <w:r>
              <w:rPr>
                <w:rFonts w:hint="eastAsia" w:ascii="楷体" w:hAnsi="楷体" w:eastAsia="楷体"/>
                <w:sz w:val="24"/>
                <w:szCs w:val="24"/>
              </w:rPr>
              <w:t>总经理:王磊；管代：张福林，按照标准要求制订的方针，对体系知识的学习还需加强。管理评审对质量、环境、职业健康安全方针的适宜性作了评审，判定适宜，适合公司的发展需求。</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楷体" w:hAnsi="楷体" w:eastAsia="楷体"/>
                <w:sz w:val="24"/>
                <w:szCs w:val="24"/>
              </w:rPr>
            </w:pPr>
            <w:r>
              <w:rPr>
                <w:rFonts w:hint="eastAsia" w:ascii="楷体" w:hAnsi="楷体" w:eastAsia="楷体"/>
                <w:sz w:val="24"/>
                <w:szCs w:val="24"/>
              </w:rPr>
              <w:t>组织的角色、职责和权限</w:t>
            </w:r>
          </w:p>
        </w:tc>
        <w:tc>
          <w:tcPr>
            <w:tcW w:w="1228" w:type="dxa"/>
            <w:vAlign w:val="center"/>
          </w:tcPr>
          <w:p>
            <w:pPr>
              <w:spacing w:line="360" w:lineRule="auto"/>
              <w:rPr>
                <w:rFonts w:ascii="楷体" w:hAnsi="楷体" w:eastAsia="楷体"/>
                <w:sz w:val="24"/>
                <w:szCs w:val="24"/>
              </w:rPr>
            </w:pPr>
            <w:r>
              <w:rPr>
                <w:rFonts w:hint="eastAsia" w:ascii="楷体" w:hAnsi="楷体" w:eastAsia="楷体"/>
                <w:sz w:val="24"/>
                <w:szCs w:val="24"/>
              </w:rPr>
              <w:t xml:space="preserve">E/S5.3   </w:t>
            </w:r>
          </w:p>
        </w:tc>
        <w:tc>
          <w:tcPr>
            <w:tcW w:w="10943"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Pr>
                <w:rFonts w:hint="eastAsia" w:ascii="楷体" w:hAnsi="楷体" w:eastAsia="楷体"/>
                <w:color w:val="000000"/>
                <w:sz w:val="24"/>
                <w:szCs w:val="24"/>
              </w:rPr>
              <w:t>询问管代、陪同人员，均了解其职责。</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楷体" w:hAnsi="楷体" w:eastAsia="楷体"/>
                <w:sz w:val="24"/>
                <w:szCs w:val="24"/>
              </w:rPr>
            </w:pPr>
            <w:r>
              <w:rPr>
                <w:rFonts w:hint="eastAsia" w:ascii="楷体" w:hAnsi="楷体" w:eastAsia="楷体"/>
                <w:sz w:val="24"/>
                <w:szCs w:val="24"/>
              </w:rPr>
              <w:t>应对风险和机会的措施</w:t>
            </w:r>
          </w:p>
        </w:tc>
        <w:tc>
          <w:tcPr>
            <w:tcW w:w="1228" w:type="dxa"/>
            <w:vAlign w:val="center"/>
          </w:tcPr>
          <w:p>
            <w:pPr>
              <w:spacing w:line="360" w:lineRule="auto"/>
              <w:rPr>
                <w:rFonts w:ascii="楷体" w:hAnsi="楷体" w:eastAsia="楷体"/>
                <w:sz w:val="24"/>
                <w:szCs w:val="24"/>
              </w:rPr>
            </w:pPr>
            <w:r>
              <w:rPr>
                <w:rFonts w:hint="eastAsia" w:ascii="楷体" w:hAnsi="楷体" w:eastAsia="楷体"/>
                <w:sz w:val="24"/>
                <w:szCs w:val="24"/>
              </w:rPr>
              <w:t>E/S6.1</w:t>
            </w:r>
          </w:p>
        </w:tc>
        <w:tc>
          <w:tcPr>
            <w:tcW w:w="10943"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编制有《风险和机遇的应对控制程序SX/QEOM.CX13-2019》，对组织内外的风险和机遇进行了策划。提供“风险和机遇评估分析表”，识别了风险和机遇来源、风险和机遇内容、管理措施、责任部门、实时时间、评价措施等，没有</w:t>
            </w:r>
            <w:r>
              <w:rPr>
                <w:rFonts w:ascii="楷体" w:hAnsi="楷体" w:eastAsia="楷体"/>
                <w:sz w:val="24"/>
                <w:szCs w:val="24"/>
              </w:rPr>
              <w:t>变化</w:t>
            </w:r>
            <w:r>
              <w:rPr>
                <w:rFonts w:hint="eastAsia" w:ascii="楷体" w:hAnsi="楷体" w:eastAsia="楷体"/>
                <w:sz w:val="24"/>
                <w:szCs w:val="24"/>
              </w:rPr>
              <w:t>。</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楷体" w:hAnsi="楷体" w:eastAsia="楷体"/>
                <w:sz w:val="24"/>
                <w:szCs w:val="24"/>
              </w:rPr>
            </w:pPr>
            <w:r>
              <w:rPr>
                <w:rFonts w:hint="eastAsia" w:ascii="楷体" w:hAnsi="楷体" w:eastAsia="楷体"/>
                <w:sz w:val="24"/>
                <w:szCs w:val="24"/>
              </w:rPr>
              <w:t>目标和措施计划（管理方案）</w:t>
            </w:r>
          </w:p>
        </w:tc>
        <w:tc>
          <w:tcPr>
            <w:tcW w:w="1228" w:type="dxa"/>
            <w:vAlign w:val="center"/>
          </w:tcPr>
          <w:p>
            <w:pPr>
              <w:spacing w:line="360" w:lineRule="auto"/>
              <w:rPr>
                <w:rFonts w:ascii="楷体" w:hAnsi="楷体" w:eastAsia="楷体"/>
                <w:sz w:val="24"/>
                <w:szCs w:val="24"/>
              </w:rPr>
            </w:pPr>
            <w:r>
              <w:rPr>
                <w:rFonts w:hint="eastAsia" w:ascii="楷体" w:hAnsi="楷体" w:eastAsia="楷体"/>
                <w:sz w:val="24"/>
                <w:szCs w:val="24"/>
              </w:rPr>
              <w:t xml:space="preserve">E/S6.2   </w:t>
            </w:r>
          </w:p>
        </w:tc>
        <w:tc>
          <w:tcPr>
            <w:tcW w:w="10943"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ascii="楷体" w:hAnsi="楷体" w:eastAsia="楷体"/>
                <w:sz w:val="24"/>
                <w:szCs w:val="24"/>
              </w:rPr>
            </w:pPr>
            <w:r>
              <w:rPr>
                <w:rFonts w:hint="eastAsia" w:ascii="楷体" w:hAnsi="楷体" w:eastAsia="楷体"/>
                <w:sz w:val="24"/>
                <w:szCs w:val="24"/>
              </w:rPr>
              <w:t>质量目标：</w:t>
            </w:r>
          </w:p>
          <w:p>
            <w:pPr>
              <w:spacing w:line="360" w:lineRule="auto"/>
              <w:rPr>
                <w:rFonts w:ascii="楷体" w:hAnsi="楷体" w:eastAsia="楷体"/>
                <w:sz w:val="24"/>
                <w:szCs w:val="24"/>
              </w:rPr>
            </w:pPr>
            <w:r>
              <w:rPr>
                <w:rFonts w:hint="eastAsia" w:ascii="楷体" w:hAnsi="楷体" w:eastAsia="楷体"/>
                <w:sz w:val="24"/>
                <w:szCs w:val="24"/>
              </w:rPr>
              <w:t>环境管理目标：a)固体废弃物分类管理</w:t>
            </w:r>
          </w:p>
          <w:p>
            <w:pPr>
              <w:spacing w:line="360" w:lineRule="auto"/>
              <w:ind w:firstLine="590" w:firstLineChars="246"/>
              <w:rPr>
                <w:rFonts w:ascii="楷体" w:hAnsi="楷体" w:eastAsia="楷体"/>
                <w:sz w:val="24"/>
                <w:szCs w:val="24"/>
              </w:rPr>
            </w:pPr>
            <w:r>
              <w:rPr>
                <w:rFonts w:hint="eastAsia" w:ascii="楷体" w:hAnsi="楷体" w:eastAsia="楷体"/>
                <w:sz w:val="24"/>
                <w:szCs w:val="24"/>
              </w:rPr>
              <w:t xml:space="preserve">              b)环保无环保投诉</w:t>
            </w:r>
          </w:p>
          <w:p>
            <w:pPr>
              <w:spacing w:line="360" w:lineRule="auto"/>
              <w:ind w:firstLine="590" w:firstLineChars="246"/>
              <w:rPr>
                <w:rFonts w:ascii="楷体" w:hAnsi="楷体" w:eastAsia="楷体"/>
                <w:sz w:val="24"/>
                <w:szCs w:val="24"/>
              </w:rPr>
            </w:pPr>
            <w:r>
              <w:rPr>
                <w:rFonts w:hint="eastAsia" w:ascii="楷体" w:hAnsi="楷体" w:eastAsia="楷体"/>
                <w:sz w:val="24"/>
                <w:szCs w:val="24"/>
              </w:rPr>
              <w:t xml:space="preserve">              c)火灾事故为零          </w:t>
            </w:r>
          </w:p>
          <w:p>
            <w:pPr>
              <w:spacing w:line="360" w:lineRule="auto"/>
              <w:rPr>
                <w:rFonts w:ascii="楷体" w:hAnsi="楷体" w:eastAsia="楷体"/>
                <w:sz w:val="24"/>
                <w:szCs w:val="24"/>
              </w:rPr>
            </w:pPr>
            <w:r>
              <w:rPr>
                <w:rFonts w:hint="eastAsia" w:ascii="楷体" w:hAnsi="楷体" w:eastAsia="楷体"/>
                <w:sz w:val="24"/>
                <w:szCs w:val="24"/>
              </w:rPr>
              <w:t>职业健康安全目标：a)重大安全事故为零</w:t>
            </w:r>
          </w:p>
          <w:p>
            <w:pPr>
              <w:tabs>
                <w:tab w:val="left" w:pos="840"/>
              </w:tabs>
              <w:spacing w:line="360" w:lineRule="auto"/>
              <w:rPr>
                <w:rFonts w:ascii="楷体" w:hAnsi="楷体" w:eastAsia="楷体"/>
                <w:b/>
                <w:bCs/>
                <w:sz w:val="24"/>
                <w:szCs w:val="24"/>
              </w:rPr>
            </w:pPr>
            <w:r>
              <w:rPr>
                <w:rFonts w:hint="eastAsia" w:ascii="楷体" w:hAnsi="楷体" w:eastAsia="楷体"/>
                <w:color w:val="000000"/>
                <w:sz w:val="24"/>
                <w:szCs w:val="24"/>
              </w:rPr>
              <w:t xml:space="preserve">                      </w:t>
            </w:r>
            <w:r>
              <w:rPr>
                <w:rFonts w:hint="eastAsia" w:ascii="楷体" w:hAnsi="楷体" w:eastAsia="楷体"/>
                <w:sz w:val="24"/>
                <w:szCs w:val="24"/>
              </w:rPr>
              <w:t xml:space="preserve">     b)员工职业病为零</w:t>
            </w:r>
          </w:p>
          <w:p>
            <w:pPr>
              <w:spacing w:line="360" w:lineRule="auto"/>
              <w:ind w:firstLine="480" w:firstLineChars="200"/>
              <w:rPr>
                <w:rFonts w:ascii="楷体" w:hAnsi="楷体" w:eastAsia="楷体"/>
                <w:sz w:val="24"/>
                <w:szCs w:val="24"/>
                <w:u w:val="single"/>
              </w:rPr>
            </w:pPr>
          </w:p>
          <w:p>
            <w:pPr>
              <w:spacing w:line="360" w:lineRule="auto"/>
              <w:ind w:firstLine="480" w:firstLineChars="200"/>
              <w:rPr>
                <w:rFonts w:ascii="楷体" w:hAnsi="楷体" w:eastAsia="楷体"/>
                <w:sz w:val="24"/>
                <w:szCs w:val="24"/>
              </w:rPr>
            </w:pPr>
            <w:r>
              <w:rPr>
                <w:rFonts w:hint="eastAsia" w:ascii="楷体" w:hAnsi="楷体" w:eastAsia="楷体"/>
                <w:sz w:val="24"/>
                <w:szCs w:val="24"/>
              </w:rPr>
              <w:t>组织对公司质量、环境、职业健康安全目标、指标予以分解，并在相关职能层次部门建立分目标，202</w:t>
            </w:r>
            <w:r>
              <w:rPr>
                <w:rFonts w:hint="eastAsia" w:ascii="楷体" w:hAnsi="楷体" w:eastAsia="楷体"/>
                <w:sz w:val="24"/>
                <w:szCs w:val="24"/>
                <w:lang w:val="en-US" w:eastAsia="zh-CN"/>
              </w:rPr>
              <w:t>2</w:t>
            </w:r>
            <w:r>
              <w:rPr>
                <w:rFonts w:hint="eastAsia" w:ascii="楷体" w:hAnsi="楷体" w:eastAsia="楷体"/>
                <w:sz w:val="24"/>
                <w:szCs w:val="24"/>
              </w:rPr>
              <w:t>.</w:t>
            </w:r>
            <w:r>
              <w:rPr>
                <w:rFonts w:hint="eastAsia" w:ascii="楷体" w:hAnsi="楷体" w:eastAsia="楷体"/>
                <w:sz w:val="24"/>
                <w:szCs w:val="24"/>
                <w:lang w:val="en-US" w:eastAsia="zh-CN"/>
              </w:rPr>
              <w:t>7</w:t>
            </w:r>
            <w:r>
              <w:rPr>
                <w:rFonts w:hint="eastAsia" w:ascii="楷体" w:hAnsi="楷体" w:eastAsia="楷体"/>
                <w:sz w:val="24"/>
                <w:szCs w:val="24"/>
              </w:rPr>
              <w:t>.1日经考核已完成，考核人</w:t>
            </w:r>
            <w:r>
              <w:rPr>
                <w:rFonts w:hint="eastAsia" w:ascii="楷体" w:hAnsi="楷体" w:eastAsia="楷体" w:cs="楷体"/>
                <w:sz w:val="24"/>
                <w:szCs w:val="24"/>
              </w:rPr>
              <w:t>周楸智</w:t>
            </w:r>
            <w:r>
              <w:rPr>
                <w:rFonts w:hint="eastAsia" w:ascii="楷体" w:hAnsi="楷体" w:eastAsia="楷体"/>
                <w:sz w:val="24"/>
                <w:szCs w:val="24"/>
              </w:rPr>
              <w:t>。</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92" w:type="dxa"/>
            <w:vAlign w:val="center"/>
          </w:tcPr>
          <w:p>
            <w:pPr>
              <w:spacing w:line="360" w:lineRule="auto"/>
              <w:rPr>
                <w:rFonts w:ascii="楷体" w:hAnsi="楷体" w:eastAsia="楷体"/>
                <w:sz w:val="24"/>
                <w:szCs w:val="24"/>
              </w:rPr>
            </w:pPr>
            <w:r>
              <w:rPr>
                <w:rFonts w:hint="eastAsia" w:ascii="楷体" w:hAnsi="楷体" w:eastAsia="楷体"/>
                <w:sz w:val="24"/>
                <w:szCs w:val="24"/>
              </w:rPr>
              <w:t>安全事务代表</w:t>
            </w:r>
          </w:p>
        </w:tc>
        <w:tc>
          <w:tcPr>
            <w:tcW w:w="1228" w:type="dxa"/>
            <w:vAlign w:val="center"/>
          </w:tcPr>
          <w:p>
            <w:pPr>
              <w:spacing w:line="360" w:lineRule="auto"/>
              <w:rPr>
                <w:rFonts w:ascii="楷体" w:hAnsi="楷体" w:eastAsia="楷体"/>
                <w:sz w:val="24"/>
                <w:szCs w:val="24"/>
              </w:rPr>
            </w:pPr>
            <w:r>
              <w:rPr>
                <w:rFonts w:hint="eastAsia" w:ascii="楷体" w:hAnsi="楷体" w:eastAsia="楷体"/>
                <w:sz w:val="24"/>
                <w:szCs w:val="24"/>
              </w:rPr>
              <w:t xml:space="preserve">  S5.4</w:t>
            </w:r>
          </w:p>
        </w:tc>
        <w:tc>
          <w:tcPr>
            <w:tcW w:w="10943" w:type="dxa"/>
            <w:vAlign w:val="center"/>
          </w:tcPr>
          <w:p>
            <w:pPr>
              <w:spacing w:line="360" w:lineRule="auto"/>
              <w:ind w:firstLine="468"/>
              <w:rPr>
                <w:rFonts w:ascii="楷体" w:hAnsi="楷体" w:eastAsia="楷体"/>
                <w:sz w:val="24"/>
                <w:szCs w:val="24"/>
              </w:rPr>
            </w:pPr>
            <w:r>
              <w:rPr>
                <w:rFonts w:hint="eastAsia" w:ascii="楷体" w:hAnsi="楷体" w:eastAsia="楷体"/>
                <w:sz w:val="24"/>
                <w:szCs w:val="24"/>
              </w:rPr>
              <w:t xml:space="preserve">编制有《信息交流、沟通、参与和协商控制程序SX/QEOM.CX04-2019》。 </w:t>
            </w:r>
          </w:p>
          <w:p>
            <w:pPr>
              <w:spacing w:line="360" w:lineRule="auto"/>
              <w:ind w:firstLine="468"/>
              <w:rPr>
                <w:rFonts w:ascii="楷体" w:hAnsi="楷体" w:eastAsia="楷体"/>
                <w:sz w:val="24"/>
                <w:szCs w:val="24"/>
              </w:rPr>
            </w:pPr>
            <w:r>
              <w:rPr>
                <w:rFonts w:hint="eastAsia" w:ascii="楷体" w:hAnsi="楷体" w:eastAsia="楷体"/>
                <w:sz w:val="24"/>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 xml:space="preserve">总经理王磊定期主持经营办公例会，分析公司的发展、市场情况和体系运行是否有效，管理目标完成情况，满足顾客要求和法规程度，改进建议等内部管理存在问题等。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 xml:space="preserve">总经理王磊为协商、参与提供了时间、机会、培训、资源等保障，明确了沟通、协商、参与渠道，消除了障碍和壁垒。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管代张福林介绍公司规模不大，人员不多，组织为各部门管理人员及非管理类工作人员明确了职责和权限，各部门管理人员及非管理类工作人员参与了环境因素和危险源辨识、风险和机遇评价和控制措施的确定，在</w:t>
            </w:r>
            <w:r>
              <w:rPr>
                <w:rFonts w:ascii="楷体" w:hAnsi="楷体" w:eastAsia="楷体"/>
                <w:sz w:val="24"/>
                <w:szCs w:val="24"/>
              </w:rPr>
              <w:t>确定相关方的需求和期望时进行了适当的协商</w:t>
            </w:r>
            <w:r>
              <w:rPr>
                <w:rFonts w:hint="eastAsia" w:ascii="楷体" w:hAnsi="楷体" w:eastAsia="楷体"/>
                <w:sz w:val="24"/>
                <w:szCs w:val="24"/>
              </w:rPr>
              <w:t>，共同参与了环境、职业健康安全方针和目标的制定和评审，共同协商</w:t>
            </w:r>
            <w:r>
              <w:rPr>
                <w:rFonts w:ascii="楷体" w:hAnsi="楷体" w:eastAsia="楷体"/>
                <w:sz w:val="24"/>
                <w:szCs w:val="24"/>
              </w:rPr>
              <w:t>如何履行法律法规要求和其他要求</w:t>
            </w:r>
            <w:r>
              <w:rPr>
                <w:rFonts w:hint="eastAsia" w:ascii="楷体" w:hAnsi="楷体" w:eastAsia="楷体"/>
                <w:sz w:val="24"/>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环保、安全方面的信息主要利用会议、培训、座谈、电话、网络、收文等方式进行内外部沟通和协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现场查见会议记录、通知通报、培训记录、文件签收等组织内部培训方式相关记录。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行政部是内外部信息交流的中心，通过会议、邮件、培训等形式进行内部交流，向外部接收各种文件传递各种报表，外部沟通联络的部门有环保部门、劳动部门、消防安全部门、质监部门、安监部门及合同方等。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经交流：目前与环保、劳动、消防、安监部门的信息交流主要是参加会议、接收来文、电话、邮件等，均按要求予以传达和落实，沟通情况较好。</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相关人员能够适当参与并协商办理公司经营管理及安全事务等工作。</w:t>
            </w:r>
          </w:p>
          <w:p>
            <w:pPr>
              <w:tabs>
                <w:tab w:val="left" w:pos="9720"/>
                <w:tab w:val="left" w:pos="9900"/>
              </w:tabs>
              <w:spacing w:line="360" w:lineRule="auto"/>
              <w:ind w:firstLine="420"/>
              <w:rPr>
                <w:rFonts w:ascii="楷体" w:hAnsi="楷体" w:eastAsia="楷体"/>
                <w:sz w:val="24"/>
                <w:szCs w:val="24"/>
              </w:rPr>
            </w:pPr>
            <w:r>
              <w:rPr>
                <w:rFonts w:hint="eastAsia" w:ascii="楷体" w:hAnsi="楷体" w:eastAsia="楷体"/>
                <w:sz w:val="24"/>
                <w:szCs w:val="24"/>
              </w:rPr>
              <w:t>公司经选举确定职业健康安全事务代表是</w:t>
            </w:r>
            <w:r>
              <w:rPr>
                <w:rFonts w:hint="eastAsia" w:ascii="楷体" w:hAnsi="楷体" w:eastAsia="楷体"/>
                <w:sz w:val="24"/>
                <w:szCs w:val="24"/>
                <w:lang w:val="en-US" w:eastAsia="zh-CN"/>
              </w:rPr>
              <w:t>周楸智</w:t>
            </w:r>
            <w:r>
              <w:rPr>
                <w:rFonts w:hint="eastAsia" w:ascii="楷体" w:hAnsi="楷体" w:eastAsia="楷体"/>
                <w:sz w:val="24"/>
                <w:szCs w:val="24"/>
              </w:rPr>
              <w:t>，</w:t>
            </w:r>
          </w:p>
          <w:p>
            <w:pPr>
              <w:tabs>
                <w:tab w:val="left" w:pos="9720"/>
                <w:tab w:val="left" w:pos="9900"/>
              </w:tabs>
              <w:spacing w:line="360" w:lineRule="auto"/>
              <w:ind w:firstLine="420"/>
              <w:rPr>
                <w:rFonts w:ascii="楷体" w:hAnsi="楷体" w:eastAsia="楷体"/>
                <w:sz w:val="24"/>
                <w:szCs w:val="24"/>
              </w:rPr>
            </w:pPr>
            <w:r>
              <w:rPr>
                <w:rFonts w:hint="eastAsia" w:ascii="楷体" w:hAnsi="楷体" w:eastAsia="楷体"/>
                <w:sz w:val="24"/>
                <w:szCs w:val="24"/>
              </w:rPr>
              <w:t xml:space="preserve">1）参与环境因素及危险源辨识、风险评价和风险控制； </w:t>
            </w:r>
          </w:p>
          <w:p>
            <w:pPr>
              <w:tabs>
                <w:tab w:val="left" w:pos="9720"/>
                <w:tab w:val="left" w:pos="9900"/>
              </w:tabs>
              <w:spacing w:line="360" w:lineRule="auto"/>
              <w:ind w:firstLine="420"/>
              <w:rPr>
                <w:rFonts w:ascii="楷体" w:hAnsi="楷体" w:eastAsia="楷体"/>
                <w:sz w:val="24"/>
                <w:szCs w:val="24"/>
              </w:rPr>
            </w:pPr>
            <w:r>
              <w:rPr>
                <w:rFonts w:hint="eastAsia" w:ascii="楷体" w:hAnsi="楷体" w:eastAsia="楷体"/>
                <w:sz w:val="24"/>
                <w:szCs w:val="24"/>
              </w:rPr>
              <w:t>2）参与职业健康安全和环保协商、评审和改进活动，并向最高管理者反映职业健康安全和环保问题；</w:t>
            </w:r>
          </w:p>
          <w:p>
            <w:pPr>
              <w:tabs>
                <w:tab w:val="left" w:pos="9720"/>
                <w:tab w:val="left" w:pos="9900"/>
              </w:tabs>
              <w:spacing w:line="360" w:lineRule="auto"/>
              <w:ind w:firstLine="420"/>
              <w:rPr>
                <w:rFonts w:ascii="楷体" w:hAnsi="楷体" w:eastAsia="楷体"/>
                <w:sz w:val="24"/>
                <w:szCs w:val="24"/>
              </w:rPr>
            </w:pPr>
            <w:r>
              <w:rPr>
                <w:rFonts w:hint="eastAsia" w:ascii="楷体" w:hAnsi="楷体" w:eastAsia="楷体"/>
                <w:sz w:val="24"/>
                <w:szCs w:val="24"/>
              </w:rPr>
              <w:t>3）参与事故和事件的调查以及现场职业健康安全检查等职业健康安全事务；</w:t>
            </w:r>
          </w:p>
          <w:p>
            <w:pPr>
              <w:tabs>
                <w:tab w:val="left" w:pos="9720"/>
                <w:tab w:val="left" w:pos="9900"/>
              </w:tabs>
              <w:spacing w:line="360" w:lineRule="auto"/>
              <w:ind w:firstLine="420"/>
              <w:rPr>
                <w:rFonts w:ascii="楷体" w:hAnsi="楷体" w:eastAsia="楷体"/>
                <w:sz w:val="24"/>
                <w:szCs w:val="24"/>
              </w:rPr>
            </w:pPr>
            <w:r>
              <w:rPr>
                <w:rFonts w:hint="eastAsia" w:ascii="楷体" w:hAnsi="楷体" w:eastAsia="楷体"/>
                <w:sz w:val="24"/>
                <w:szCs w:val="24"/>
              </w:rPr>
              <w:t>4)完成最高管理者就职业健康安全和环保方面要求的其他工作。</w:t>
            </w:r>
          </w:p>
          <w:p>
            <w:pPr>
              <w:tabs>
                <w:tab w:val="left" w:pos="9720"/>
                <w:tab w:val="left" w:pos="9900"/>
              </w:tabs>
              <w:spacing w:line="360" w:lineRule="auto"/>
              <w:ind w:firstLine="420"/>
              <w:rPr>
                <w:rFonts w:ascii="楷体" w:hAnsi="楷体" w:eastAsia="楷体"/>
                <w:sz w:val="24"/>
                <w:szCs w:val="24"/>
              </w:rPr>
            </w:pPr>
            <w:r>
              <w:rPr>
                <w:rFonts w:hint="eastAsia" w:ascii="楷体" w:hAnsi="楷体" w:eastAsia="楷体"/>
                <w:sz w:val="24"/>
                <w:szCs w:val="24"/>
              </w:rPr>
              <w:t>由于公司福利待遇正常发放，员工无抱怨，目前信息交流机制畅通。</w:t>
            </w:r>
          </w:p>
          <w:p>
            <w:pPr>
              <w:tabs>
                <w:tab w:val="left" w:pos="9720"/>
                <w:tab w:val="left" w:pos="9900"/>
              </w:tabs>
              <w:spacing w:line="360" w:lineRule="auto"/>
              <w:ind w:firstLine="420"/>
              <w:rPr>
                <w:rFonts w:ascii="楷体" w:hAnsi="楷体" w:eastAsia="楷体"/>
                <w:sz w:val="24"/>
                <w:szCs w:val="24"/>
              </w:rPr>
            </w:pPr>
            <w:r>
              <w:rPr>
                <w:rFonts w:hint="eastAsia" w:ascii="楷体" w:hAnsi="楷体" w:eastAsia="楷体"/>
                <w:sz w:val="24"/>
                <w:szCs w:val="24"/>
              </w:rPr>
              <w:t>现有的沟通渠道和方法能满足要求。审核中未发现因沟通不利不及时而造成（影响）某项工作不能正常运行的情况。</w:t>
            </w:r>
          </w:p>
        </w:tc>
        <w:tc>
          <w:tcPr>
            <w:tcW w:w="646"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center"/>
          </w:tcPr>
          <w:p>
            <w:pPr>
              <w:spacing w:line="360" w:lineRule="auto"/>
              <w:rPr>
                <w:rFonts w:ascii="楷体" w:hAnsi="楷体" w:eastAsia="楷体"/>
                <w:sz w:val="24"/>
                <w:szCs w:val="24"/>
              </w:rPr>
            </w:pPr>
            <w:r>
              <w:rPr>
                <w:rFonts w:hint="eastAsia" w:ascii="楷体" w:hAnsi="楷体" w:eastAsia="楷体"/>
                <w:sz w:val="24"/>
                <w:szCs w:val="24"/>
              </w:rPr>
              <w:t>管理评审</w:t>
            </w:r>
          </w:p>
        </w:tc>
        <w:tc>
          <w:tcPr>
            <w:tcW w:w="1228" w:type="dxa"/>
            <w:vAlign w:val="center"/>
          </w:tcPr>
          <w:p>
            <w:pPr>
              <w:spacing w:line="360" w:lineRule="auto"/>
              <w:rPr>
                <w:rFonts w:ascii="楷体" w:hAnsi="楷体" w:eastAsia="楷体"/>
                <w:sz w:val="24"/>
                <w:szCs w:val="24"/>
              </w:rPr>
            </w:pPr>
            <w:r>
              <w:rPr>
                <w:rFonts w:hint="eastAsia" w:ascii="楷体" w:hAnsi="楷体" w:eastAsia="楷体"/>
                <w:sz w:val="24"/>
                <w:szCs w:val="24"/>
              </w:rPr>
              <w:t xml:space="preserve">E/S9.3  </w:t>
            </w:r>
          </w:p>
          <w:p>
            <w:pPr>
              <w:spacing w:line="360" w:lineRule="auto"/>
              <w:rPr>
                <w:rFonts w:ascii="楷体" w:hAnsi="楷体" w:eastAsia="楷体"/>
                <w:sz w:val="24"/>
                <w:szCs w:val="24"/>
              </w:rPr>
            </w:pPr>
            <w:r>
              <w:rPr>
                <w:rFonts w:hint="eastAsia" w:ascii="楷体" w:hAnsi="楷体" w:eastAsia="楷体"/>
                <w:sz w:val="24"/>
                <w:szCs w:val="24"/>
              </w:rPr>
              <w:t xml:space="preserve"> </w:t>
            </w:r>
          </w:p>
        </w:tc>
        <w:tc>
          <w:tcPr>
            <w:tcW w:w="10943"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查看《管理评审程序》，基本符合要求。202</w:t>
            </w:r>
            <w:r>
              <w:rPr>
                <w:rFonts w:hint="eastAsia" w:ascii="楷体" w:hAnsi="楷体" w:eastAsia="楷体"/>
                <w:sz w:val="24"/>
                <w:szCs w:val="24"/>
                <w:lang w:val="en-US" w:eastAsia="zh-CN"/>
              </w:rPr>
              <w:t>2</w:t>
            </w:r>
            <w:r>
              <w:rPr>
                <w:rFonts w:hint="eastAsia" w:ascii="楷体" w:hAnsi="楷体" w:eastAsia="楷体"/>
                <w:sz w:val="24"/>
                <w:szCs w:val="24"/>
              </w:rPr>
              <w:t>.</w:t>
            </w:r>
            <w:r>
              <w:rPr>
                <w:rFonts w:hint="eastAsia" w:ascii="楷体" w:hAnsi="楷体" w:eastAsia="楷体"/>
                <w:sz w:val="24"/>
                <w:szCs w:val="24"/>
                <w:lang w:val="en-US" w:eastAsia="zh-CN"/>
              </w:rPr>
              <w:t>6</w:t>
            </w:r>
            <w:r>
              <w:rPr>
                <w:rFonts w:hint="eastAsia" w:ascii="楷体" w:hAnsi="楷体" w:eastAsia="楷体"/>
                <w:sz w:val="24"/>
                <w:szCs w:val="24"/>
              </w:rPr>
              <w:t>.</w:t>
            </w:r>
            <w:r>
              <w:rPr>
                <w:rFonts w:hint="eastAsia" w:ascii="楷体" w:hAnsi="楷体" w:eastAsia="楷体"/>
                <w:sz w:val="24"/>
                <w:szCs w:val="24"/>
                <w:lang w:val="en-US" w:eastAsia="zh-CN"/>
              </w:rPr>
              <w:t>2</w:t>
            </w:r>
            <w:r>
              <w:rPr>
                <w:rFonts w:hint="eastAsia" w:ascii="楷体" w:hAnsi="楷体" w:eastAsia="楷体"/>
                <w:sz w:val="24"/>
                <w:szCs w:val="24"/>
              </w:rPr>
              <w:t>5日进行了管理评审。</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 “管理评审计划”，由王磊批准，内容包括；评审目的、评审时间、参加部门人员、评审输入内容等。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管理评审输入:包括（1）管理者代表负责报告公司质量、环境、职业健康安全管理体系的运行情况；方针、目标、方案及其实施情况,实施管理体系的资源配置情况，可能影响管理体系的变化情况。</w:t>
            </w:r>
          </w:p>
          <w:p>
            <w:pPr>
              <w:spacing w:line="360" w:lineRule="auto"/>
              <w:ind w:firstLine="480" w:firstLineChars="200"/>
              <w:rPr>
                <w:rFonts w:ascii="楷体" w:hAnsi="楷体" w:eastAsia="楷体"/>
                <w:sz w:val="24"/>
                <w:szCs w:val="24"/>
              </w:rPr>
            </w:pPr>
            <w:r>
              <w:rPr>
                <w:rFonts w:hint="eastAsia" w:ascii="楷体" w:hAnsi="楷体" w:eastAsia="楷体"/>
                <w:sz w:val="24"/>
                <w:szCs w:val="24"/>
              </w:rPr>
              <w:t xml:space="preserve">（2）行政部负责报告环境因素、危险源特别是重要环境因素和重大危险源的控制情况；质量、环境和职业健康安全方面不符合、纠正和预防措施实施情况；环境、职业健康安全绩效，合规性评价和相关文件执行情况； </w:t>
            </w:r>
          </w:p>
          <w:p>
            <w:pPr>
              <w:spacing w:line="360" w:lineRule="auto"/>
              <w:ind w:firstLine="480" w:firstLineChars="200"/>
              <w:rPr>
                <w:rFonts w:ascii="楷体" w:hAnsi="楷体" w:eastAsia="楷体"/>
                <w:sz w:val="24"/>
                <w:szCs w:val="24"/>
              </w:rPr>
            </w:pPr>
            <w:r>
              <w:rPr>
                <w:rFonts w:hint="eastAsia" w:ascii="楷体" w:hAnsi="楷体" w:eastAsia="楷体"/>
                <w:sz w:val="24"/>
                <w:szCs w:val="24"/>
              </w:rPr>
              <w:t>（3）行政部负责报告人力资源配置情况，内审及纠正和预防措施实施情况过程的业绩；</w:t>
            </w:r>
          </w:p>
          <w:p>
            <w:pPr>
              <w:spacing w:line="360" w:lineRule="auto"/>
              <w:ind w:firstLine="480" w:firstLineChars="200"/>
              <w:rPr>
                <w:rFonts w:ascii="楷体" w:hAnsi="楷体" w:eastAsia="楷体"/>
                <w:sz w:val="24"/>
                <w:szCs w:val="24"/>
              </w:rPr>
            </w:pPr>
            <w:r>
              <w:rPr>
                <w:rFonts w:hint="eastAsia" w:ascii="楷体" w:hAnsi="楷体" w:eastAsia="楷体"/>
                <w:sz w:val="24"/>
                <w:szCs w:val="24"/>
              </w:rPr>
              <w:t>（4）生产部负责报告产品符合性情况；</w:t>
            </w:r>
          </w:p>
          <w:p>
            <w:pPr>
              <w:spacing w:line="360" w:lineRule="auto"/>
              <w:ind w:firstLine="480" w:firstLineChars="200"/>
              <w:rPr>
                <w:rFonts w:ascii="楷体" w:hAnsi="楷体" w:eastAsia="楷体"/>
                <w:sz w:val="24"/>
                <w:szCs w:val="24"/>
              </w:rPr>
            </w:pPr>
            <w:r>
              <w:rPr>
                <w:rFonts w:hint="eastAsia" w:ascii="楷体" w:hAnsi="楷体" w:eastAsia="楷体"/>
                <w:sz w:val="24"/>
                <w:szCs w:val="24"/>
              </w:rPr>
              <w:t>（5）供销部负责报告顾客满意度情况及相关方的投诉、建议及其要求以及与相关方沟通的情况；</w:t>
            </w:r>
          </w:p>
          <w:p>
            <w:pPr>
              <w:spacing w:line="360" w:lineRule="auto"/>
              <w:ind w:firstLine="480" w:firstLineChars="200"/>
              <w:rPr>
                <w:rFonts w:ascii="楷体" w:hAnsi="楷体" w:eastAsia="楷体"/>
                <w:sz w:val="24"/>
                <w:szCs w:val="24"/>
              </w:rPr>
            </w:pPr>
            <w:r>
              <w:rPr>
                <w:rFonts w:hint="eastAsia" w:ascii="楷体" w:hAnsi="楷体" w:eastAsia="楷体"/>
                <w:sz w:val="24"/>
                <w:szCs w:val="24"/>
              </w:rPr>
              <w:t>（6）各部门报告质量、环境和职业健康安全管理体系在本部门运行实施情况并提出改进建议。管理评审的输入基本充分。查到各部门汇报材料，有参加人员签到表。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管理评审报告”总经理王磊批准：公司三位一体的管理体系已正常有效运行，能适应目前内外部的需要，满足标准要求；管理方针体现了公司多年一贯的经营宗旨，高度概括了公司在质量、环境和职业健康安全管理工作方面的追求，已被广大职工所理解，也已被相关方及社会所认同，将不作修改；管理目标反映了我公司目前质量、环境和职业健康安全管理的现状，通过全体员工的共同努力，完全能够达到，将继续执行；公司组织机构设置相对合理，各部门职责明确，接口基本清晰，内外部信息沟通渠道畅通；公司从原材料进公司到产品交付的生产服务全过程都进行了控制，控制效果明显，产品质量稳定可靠，近期未出现严重的产品质量问题，未有顾客的投诉；公司的各项资源配置目前基本满足体系运行需要。今后将进一步在人力资源和环保设施上加大投入；公司所列的重要环境因素、重大危险源得到了有效控制，现阶段仍然是我公司应加强管理控制的主要内容；公司对全体员工的质量、环境、安全意识的培训教育工作还存在不足，公司的各项管理活动在文件化、规范化方面还需进一步改进。</w:t>
            </w:r>
          </w:p>
          <w:p>
            <w:pPr>
              <w:spacing w:line="360" w:lineRule="auto"/>
              <w:rPr>
                <w:rFonts w:ascii="楷体" w:hAnsi="楷体" w:eastAsia="楷体"/>
                <w:sz w:val="24"/>
                <w:szCs w:val="24"/>
              </w:rPr>
            </w:pPr>
            <w:r>
              <w:rPr>
                <w:rFonts w:hint="eastAsia" w:ascii="楷体" w:hAnsi="楷体" w:eastAsia="楷体"/>
                <w:sz w:val="24"/>
                <w:szCs w:val="24"/>
              </w:rPr>
              <w:t>改进措施：</w:t>
            </w:r>
          </w:p>
          <w:p>
            <w:pPr>
              <w:spacing w:line="360" w:lineRule="auto"/>
              <w:ind w:firstLine="240" w:firstLineChars="100"/>
              <w:rPr>
                <w:rFonts w:ascii="楷体" w:hAnsi="楷体" w:eastAsia="楷体"/>
                <w:sz w:val="24"/>
                <w:szCs w:val="24"/>
              </w:rPr>
            </w:pPr>
            <w:r>
              <w:rPr>
                <w:rFonts w:hint="eastAsia" w:ascii="楷体" w:hAnsi="楷体" w:eastAsia="楷体"/>
                <w:sz w:val="24"/>
                <w:szCs w:val="24"/>
              </w:rPr>
              <w:t>1．组织员工进一步细化学习公司体系文件，强化员工的质量、环保、职业健康安全防护意识。</w:t>
            </w:r>
          </w:p>
          <w:p>
            <w:pPr>
              <w:spacing w:line="360" w:lineRule="auto"/>
              <w:rPr>
                <w:rFonts w:ascii="楷体" w:hAnsi="楷体" w:eastAsia="楷体"/>
                <w:sz w:val="24"/>
                <w:szCs w:val="24"/>
              </w:rPr>
            </w:pPr>
            <w:r>
              <w:rPr>
                <w:rFonts w:hint="eastAsia" w:ascii="楷体" w:hAnsi="楷体" w:eastAsia="楷体"/>
                <w:sz w:val="24"/>
                <w:szCs w:val="24"/>
              </w:rPr>
              <w:t>2．参考负责废弃物分类箱的重新设计和布置，并强化对各部门废弃物分类处理的检查工作。</w:t>
            </w:r>
          </w:p>
          <w:p>
            <w:pPr>
              <w:pStyle w:val="5"/>
              <w:spacing w:line="360" w:lineRule="auto"/>
              <w:rPr>
                <w:rFonts w:ascii="楷体" w:hAnsi="楷体" w:eastAsia="楷体"/>
                <w:szCs w:val="24"/>
              </w:rPr>
            </w:pPr>
            <w:r>
              <w:rPr>
                <w:rFonts w:hint="eastAsia" w:ascii="楷体" w:hAnsi="楷体" w:eastAsia="楷体"/>
                <w:szCs w:val="24"/>
              </w:rPr>
              <w:t>在实施中，查上次管理评审提出的改进措施已完成。</w:t>
            </w:r>
          </w:p>
        </w:tc>
        <w:tc>
          <w:tcPr>
            <w:tcW w:w="646"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center"/>
          </w:tcPr>
          <w:p>
            <w:pPr>
              <w:spacing w:line="360" w:lineRule="auto"/>
              <w:rPr>
                <w:rFonts w:ascii="楷体" w:hAnsi="楷体" w:eastAsia="楷体"/>
                <w:sz w:val="24"/>
                <w:szCs w:val="24"/>
              </w:rPr>
            </w:pPr>
            <w:r>
              <w:rPr>
                <w:rFonts w:hint="eastAsia" w:ascii="楷体" w:hAnsi="楷体" w:eastAsia="楷体"/>
                <w:sz w:val="24"/>
                <w:szCs w:val="24"/>
              </w:rPr>
              <w:t>改进</w:t>
            </w:r>
          </w:p>
          <w:p>
            <w:pPr>
              <w:spacing w:line="360" w:lineRule="auto"/>
              <w:rPr>
                <w:rFonts w:ascii="楷体" w:hAnsi="楷体" w:eastAsia="楷体"/>
                <w:sz w:val="24"/>
                <w:szCs w:val="24"/>
              </w:rPr>
            </w:pPr>
          </w:p>
        </w:tc>
        <w:tc>
          <w:tcPr>
            <w:tcW w:w="1228" w:type="dxa"/>
            <w:vAlign w:val="center"/>
          </w:tcPr>
          <w:p>
            <w:pPr>
              <w:spacing w:line="360" w:lineRule="auto"/>
              <w:rPr>
                <w:rFonts w:ascii="楷体" w:hAnsi="楷体" w:eastAsia="楷体"/>
                <w:sz w:val="24"/>
                <w:szCs w:val="24"/>
              </w:rPr>
            </w:pPr>
            <w:r>
              <w:rPr>
                <w:rFonts w:hint="eastAsia" w:ascii="楷体" w:hAnsi="楷体" w:eastAsia="楷体"/>
                <w:sz w:val="24"/>
                <w:szCs w:val="24"/>
              </w:rPr>
              <w:t>E/S10</w:t>
            </w:r>
          </w:p>
          <w:p>
            <w:pPr>
              <w:spacing w:line="360" w:lineRule="auto"/>
              <w:rPr>
                <w:rFonts w:ascii="楷体" w:hAnsi="楷体" w:eastAsia="楷体"/>
                <w:sz w:val="24"/>
                <w:szCs w:val="24"/>
              </w:rPr>
            </w:pPr>
          </w:p>
        </w:tc>
        <w:tc>
          <w:tcPr>
            <w:tcW w:w="10943"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管理者代表根据总经理意图组织持续改进过程的策划工作，由</w:t>
            </w:r>
            <w:r>
              <w:rPr>
                <w:rFonts w:hint="eastAsia" w:ascii="楷体" w:hAnsi="楷体" w:eastAsia="楷体"/>
                <w:color w:val="000000"/>
                <w:sz w:val="24"/>
                <w:szCs w:val="24"/>
                <w:lang w:val="en-US" w:eastAsia="zh-CN"/>
              </w:rPr>
              <w:t>行政部</w:t>
            </w:r>
            <w:r>
              <w:rPr>
                <w:rFonts w:hint="eastAsia" w:ascii="楷体" w:hAnsi="楷体" w:eastAsia="楷体"/>
                <w:color w:val="000000"/>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提高，持续改进了管理体系的有效性。</w:t>
            </w:r>
          </w:p>
        </w:tc>
        <w:tc>
          <w:tcPr>
            <w:tcW w:w="646" w:type="dxa"/>
            <w:vAlign w:val="center"/>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center"/>
          </w:tcPr>
          <w:p>
            <w:pPr>
              <w:spacing w:line="360" w:lineRule="auto"/>
              <w:rPr>
                <w:rFonts w:ascii="楷体" w:hAnsi="楷体" w:eastAsia="楷体"/>
                <w:sz w:val="24"/>
                <w:szCs w:val="24"/>
              </w:rPr>
            </w:pPr>
            <w:r>
              <w:rPr>
                <w:rFonts w:hint="eastAsia" w:ascii="楷体" w:hAnsi="楷体" w:eastAsia="楷体"/>
                <w:sz w:val="24"/>
                <w:szCs w:val="24"/>
              </w:rPr>
              <w:t>体系变更</w:t>
            </w:r>
          </w:p>
        </w:tc>
        <w:tc>
          <w:tcPr>
            <w:tcW w:w="1228" w:type="dxa"/>
            <w:vAlign w:val="center"/>
          </w:tcPr>
          <w:p>
            <w:pPr>
              <w:spacing w:line="360" w:lineRule="auto"/>
              <w:rPr>
                <w:rFonts w:ascii="楷体" w:hAnsi="楷体" w:eastAsia="楷体"/>
                <w:sz w:val="24"/>
                <w:szCs w:val="24"/>
              </w:rPr>
            </w:pPr>
          </w:p>
        </w:tc>
        <w:tc>
          <w:tcPr>
            <w:tcW w:w="10943" w:type="dxa"/>
            <w:vAlign w:val="center"/>
          </w:tcPr>
          <w:p>
            <w:pPr>
              <w:snapToGrid w:val="0"/>
              <w:spacing w:line="360" w:lineRule="auto"/>
              <w:ind w:firstLine="480" w:firstLineChars="200"/>
              <w:rPr>
                <w:rFonts w:hint="default" w:ascii="楷体" w:hAnsi="楷体" w:eastAsia="楷体"/>
                <w:color w:val="000000"/>
                <w:sz w:val="24"/>
                <w:szCs w:val="24"/>
                <w:lang w:val="en-US" w:eastAsia="zh-CN"/>
              </w:rPr>
            </w:pPr>
            <w:r>
              <w:rPr>
                <w:rFonts w:hint="eastAsia" w:ascii="楷体" w:hAnsi="楷体" w:eastAsia="楷体"/>
                <w:color w:val="000000"/>
                <w:sz w:val="24"/>
                <w:szCs w:val="24"/>
                <w:lang w:val="en-US" w:eastAsia="zh-CN"/>
              </w:rPr>
              <w:t>经公司申请和认证公司批准，增加了审核范围</w:t>
            </w:r>
            <w:r>
              <w:rPr>
                <w:rFonts w:hint="eastAsia" w:ascii="楷体" w:hAnsi="楷体" w:eastAsia="楷体"/>
                <w:color w:val="000000"/>
                <w:sz w:val="24"/>
                <w:szCs w:val="24"/>
              </w:rPr>
              <w:t>。</w:t>
            </w:r>
          </w:p>
        </w:tc>
        <w:tc>
          <w:tcPr>
            <w:tcW w:w="646" w:type="dxa"/>
            <w:vAlign w:val="center"/>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spacing w:line="360" w:lineRule="auto"/>
              <w:rPr>
                <w:rFonts w:ascii="楷体" w:hAnsi="楷体" w:eastAsia="楷体"/>
                <w:sz w:val="24"/>
                <w:szCs w:val="24"/>
              </w:rPr>
            </w:pPr>
            <w:r>
              <w:rPr>
                <w:rFonts w:hint="eastAsia" w:ascii="楷体" w:hAnsi="楷体" w:eastAsia="楷体"/>
                <w:sz w:val="24"/>
                <w:szCs w:val="24"/>
              </w:rPr>
              <w:t>国家/地方抽查、顾客满意、相关方投诉处理</w:t>
            </w:r>
          </w:p>
        </w:tc>
        <w:tc>
          <w:tcPr>
            <w:tcW w:w="1228" w:type="dxa"/>
          </w:tcPr>
          <w:p>
            <w:pPr>
              <w:spacing w:line="360" w:lineRule="auto"/>
              <w:rPr>
                <w:rFonts w:ascii="楷体" w:hAnsi="楷体" w:eastAsia="楷体"/>
                <w:sz w:val="24"/>
                <w:szCs w:val="24"/>
              </w:rPr>
            </w:pPr>
          </w:p>
        </w:tc>
        <w:tc>
          <w:tcPr>
            <w:tcW w:w="10943" w:type="dxa"/>
          </w:tcPr>
          <w:p>
            <w:pPr>
              <w:spacing w:line="360" w:lineRule="auto"/>
              <w:rPr>
                <w:rFonts w:ascii="楷体" w:hAnsi="楷体" w:eastAsia="楷体"/>
                <w:sz w:val="24"/>
                <w:szCs w:val="24"/>
              </w:rPr>
            </w:pPr>
            <w:r>
              <w:rPr>
                <w:rFonts w:hint="eastAsia" w:ascii="楷体" w:hAnsi="楷体" w:eastAsia="楷体"/>
                <w:sz w:val="24"/>
                <w:szCs w:val="24"/>
              </w:rPr>
              <w:t>自公司成立以来，未受到上级主管部门有关环境问题、职业健康安全的行政处罚。未发生相关方的投诉。暂时没有国家/地方抽查情况。</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体系运行至今暂未收到过顾客投诉情况，日常顾客反馈都是一些小问题已及时处理，顾客较满意。</w:t>
            </w:r>
          </w:p>
        </w:tc>
        <w:tc>
          <w:tcPr>
            <w:tcW w:w="646" w:type="dxa"/>
            <w:vAlign w:val="center"/>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spacing w:line="360" w:lineRule="auto"/>
              <w:rPr>
                <w:rFonts w:ascii="楷体" w:hAnsi="楷体" w:eastAsia="楷体"/>
                <w:sz w:val="24"/>
                <w:szCs w:val="24"/>
              </w:rPr>
            </w:pPr>
            <w:r>
              <w:rPr>
                <w:rFonts w:hint="eastAsia" w:ascii="楷体" w:hAnsi="楷体" w:eastAsia="楷体"/>
                <w:sz w:val="24"/>
                <w:szCs w:val="24"/>
              </w:rPr>
              <w:t>上次审核不符合验证</w:t>
            </w:r>
          </w:p>
        </w:tc>
        <w:tc>
          <w:tcPr>
            <w:tcW w:w="1228" w:type="dxa"/>
          </w:tcPr>
          <w:p>
            <w:pPr>
              <w:spacing w:line="360" w:lineRule="auto"/>
              <w:rPr>
                <w:rFonts w:ascii="楷体" w:hAnsi="楷体" w:eastAsia="楷体"/>
                <w:sz w:val="24"/>
                <w:szCs w:val="24"/>
              </w:rPr>
            </w:pPr>
          </w:p>
        </w:tc>
        <w:tc>
          <w:tcPr>
            <w:tcW w:w="10943" w:type="dxa"/>
          </w:tcPr>
          <w:p>
            <w:pPr>
              <w:spacing w:line="360" w:lineRule="auto"/>
              <w:rPr>
                <w:rFonts w:ascii="楷体" w:hAnsi="楷体" w:eastAsia="楷体"/>
                <w:sz w:val="24"/>
                <w:szCs w:val="24"/>
              </w:rPr>
            </w:pPr>
            <w:r>
              <w:rPr>
                <w:rFonts w:hint="eastAsia" w:ascii="楷体" w:hAnsi="楷体" w:eastAsia="楷体"/>
                <w:sz w:val="24"/>
                <w:szCs w:val="24"/>
              </w:rPr>
              <w:t>经检查上次审核发现的</w:t>
            </w:r>
            <w:r>
              <w:rPr>
                <w:rFonts w:hint="eastAsia" w:ascii="楷体" w:hAnsi="楷体" w:eastAsia="楷体"/>
                <w:sz w:val="24"/>
                <w:szCs w:val="24"/>
                <w:lang w:val="en-US" w:eastAsia="zh-CN"/>
              </w:rPr>
              <w:t>2个</w:t>
            </w:r>
            <w:r>
              <w:rPr>
                <w:rFonts w:hint="eastAsia" w:ascii="楷体" w:hAnsi="楷体" w:eastAsia="楷体"/>
                <w:sz w:val="24"/>
                <w:szCs w:val="24"/>
              </w:rPr>
              <w:t>不符合项（ES8.2条款）已整改完成。</w:t>
            </w:r>
          </w:p>
        </w:tc>
        <w:tc>
          <w:tcPr>
            <w:tcW w:w="646" w:type="dxa"/>
            <w:vAlign w:val="center"/>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rPr>
                <w:rFonts w:ascii="楷体" w:hAnsi="楷体" w:eastAsia="楷体"/>
                <w:sz w:val="24"/>
                <w:szCs w:val="24"/>
              </w:rPr>
            </w:pPr>
            <w:r>
              <w:rPr>
                <w:rFonts w:hint="eastAsia" w:ascii="楷体" w:hAnsi="楷体" w:eastAsia="楷体"/>
                <w:sz w:val="24"/>
                <w:szCs w:val="24"/>
              </w:rPr>
              <w:t>证书、标志使用</w:t>
            </w:r>
          </w:p>
        </w:tc>
        <w:tc>
          <w:tcPr>
            <w:tcW w:w="1228" w:type="dxa"/>
          </w:tcPr>
          <w:p>
            <w:pPr>
              <w:spacing w:line="360" w:lineRule="auto"/>
              <w:rPr>
                <w:rFonts w:ascii="楷体" w:hAnsi="楷体" w:eastAsia="楷体"/>
                <w:sz w:val="24"/>
                <w:szCs w:val="24"/>
              </w:rPr>
            </w:pPr>
          </w:p>
        </w:tc>
        <w:tc>
          <w:tcPr>
            <w:tcW w:w="10943" w:type="dxa"/>
          </w:tcPr>
          <w:p>
            <w:pPr>
              <w:spacing w:line="360" w:lineRule="auto"/>
              <w:rPr>
                <w:rFonts w:ascii="楷体" w:hAnsi="楷体" w:eastAsia="楷体"/>
                <w:sz w:val="24"/>
                <w:szCs w:val="24"/>
              </w:rPr>
            </w:pPr>
            <w:r>
              <w:rPr>
                <w:rFonts w:hint="eastAsia" w:ascii="楷体" w:hAnsi="楷体" w:eastAsia="楷体"/>
                <w:sz w:val="24"/>
                <w:szCs w:val="24"/>
              </w:rPr>
              <w:t>在招投标和业务洽谈时出示认证证书，未使用认证标志。</w:t>
            </w:r>
          </w:p>
        </w:tc>
        <w:tc>
          <w:tcPr>
            <w:tcW w:w="646" w:type="dxa"/>
            <w:vAlign w:val="center"/>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92" w:type="dxa"/>
          </w:tcPr>
          <w:p>
            <w:pPr>
              <w:spacing w:line="360" w:lineRule="auto"/>
              <w:rPr>
                <w:rFonts w:ascii="楷体" w:hAnsi="楷体" w:eastAsia="楷体" w:cs="宋体"/>
                <w:sz w:val="24"/>
                <w:szCs w:val="24"/>
              </w:rPr>
            </w:pPr>
            <w:r>
              <w:rPr>
                <w:rFonts w:ascii="楷体" w:hAnsi="楷体" w:eastAsia="楷体" w:cs="宋体"/>
                <w:sz w:val="24"/>
                <w:szCs w:val="24"/>
              </w:rPr>
              <w:t>资质</w:t>
            </w:r>
          </w:p>
        </w:tc>
        <w:tc>
          <w:tcPr>
            <w:tcW w:w="1228" w:type="dxa"/>
          </w:tcPr>
          <w:p>
            <w:pPr>
              <w:spacing w:line="360" w:lineRule="auto"/>
              <w:rPr>
                <w:rFonts w:ascii="楷体" w:hAnsi="楷体" w:eastAsia="楷体" w:cs="宋体"/>
                <w:sz w:val="24"/>
                <w:szCs w:val="24"/>
              </w:rPr>
            </w:pPr>
          </w:p>
        </w:tc>
        <w:tc>
          <w:tcPr>
            <w:tcW w:w="10943" w:type="dxa"/>
            <w:vAlign w:val="center"/>
          </w:tcPr>
          <w:p>
            <w:pPr>
              <w:spacing w:line="360" w:lineRule="auto"/>
              <w:ind w:firstLine="480" w:firstLineChars="200"/>
              <w:rPr>
                <w:rFonts w:ascii="楷体" w:hAnsi="楷体" w:eastAsia="楷体" w:cs="宋体"/>
                <w:sz w:val="24"/>
                <w:szCs w:val="24"/>
              </w:rPr>
            </w:pPr>
            <w:r>
              <w:rPr>
                <w:rFonts w:ascii="楷体" w:hAnsi="楷体" w:eastAsia="楷体" w:cs="宋体"/>
                <w:sz w:val="24"/>
                <w:szCs w:val="24"/>
              </w:rPr>
              <w:t>查到营业执照</w:t>
            </w:r>
            <w:r>
              <w:rPr>
                <w:rFonts w:hint="eastAsia" w:ascii="楷体" w:hAnsi="楷体" w:eastAsia="楷体" w:cs="宋体"/>
                <w:sz w:val="24"/>
                <w:szCs w:val="24"/>
              </w:rPr>
              <w:t>，有效。</w:t>
            </w:r>
            <w:bookmarkStart w:id="1" w:name="_GoBack"/>
            <w:bookmarkEnd w:id="1"/>
          </w:p>
        </w:tc>
        <w:tc>
          <w:tcPr>
            <w:tcW w:w="646" w:type="dxa"/>
          </w:tcPr>
          <w:p>
            <w:pPr>
              <w:spacing w:line="360" w:lineRule="auto"/>
              <w:rPr>
                <w:rFonts w:ascii="楷体" w:hAnsi="楷体" w:eastAsia="楷体" w:cs="宋体"/>
                <w:sz w:val="24"/>
                <w:szCs w:val="24"/>
              </w:rPr>
            </w:pPr>
          </w:p>
        </w:tc>
      </w:tr>
    </w:tbl>
    <w:p>
      <w:pPr>
        <w:spacing w:line="360" w:lineRule="auto"/>
        <w:rPr>
          <w:rFonts w:ascii="楷体" w:hAnsi="楷体" w:eastAsia="楷体"/>
          <w:sz w:val="24"/>
          <w:szCs w:val="24"/>
        </w:rPr>
      </w:pPr>
    </w:p>
    <w:p>
      <w:pPr>
        <w:pStyle w:val="8"/>
        <w:spacing w:line="360" w:lineRule="auto"/>
        <w:rPr>
          <w:rFonts w:ascii="楷体" w:hAnsi="楷体" w:eastAsia="楷体"/>
          <w:sz w:val="24"/>
          <w:szCs w:val="24"/>
        </w:rPr>
      </w:pPr>
      <w:r>
        <w:rPr>
          <w:rFonts w:hint="eastAsia" w:ascii="楷体" w:hAnsi="楷体" w:eastAsia="楷体"/>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9"/>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9973B4"/>
    <w:rsid w:val="000237F6"/>
    <w:rsid w:val="0003373A"/>
    <w:rsid w:val="00037717"/>
    <w:rsid w:val="00066B90"/>
    <w:rsid w:val="000954A0"/>
    <w:rsid w:val="000C520C"/>
    <w:rsid w:val="000C6DD5"/>
    <w:rsid w:val="000E15CA"/>
    <w:rsid w:val="000E59F3"/>
    <w:rsid w:val="00100B9F"/>
    <w:rsid w:val="00101CE9"/>
    <w:rsid w:val="0015137E"/>
    <w:rsid w:val="00152D7C"/>
    <w:rsid w:val="00191322"/>
    <w:rsid w:val="001A2D7F"/>
    <w:rsid w:val="001B387B"/>
    <w:rsid w:val="001B3D1B"/>
    <w:rsid w:val="001C4381"/>
    <w:rsid w:val="001C5D0F"/>
    <w:rsid w:val="00226588"/>
    <w:rsid w:val="00236E67"/>
    <w:rsid w:val="002458E8"/>
    <w:rsid w:val="00254A52"/>
    <w:rsid w:val="00257733"/>
    <w:rsid w:val="0028511B"/>
    <w:rsid w:val="002A3A34"/>
    <w:rsid w:val="002B13EE"/>
    <w:rsid w:val="002E5A46"/>
    <w:rsid w:val="002F0939"/>
    <w:rsid w:val="002F4962"/>
    <w:rsid w:val="00304675"/>
    <w:rsid w:val="00321DA4"/>
    <w:rsid w:val="00337922"/>
    <w:rsid w:val="00340867"/>
    <w:rsid w:val="00352374"/>
    <w:rsid w:val="00380837"/>
    <w:rsid w:val="00383A3B"/>
    <w:rsid w:val="003A198A"/>
    <w:rsid w:val="003A5212"/>
    <w:rsid w:val="003C1EC7"/>
    <w:rsid w:val="003D31EA"/>
    <w:rsid w:val="003F2D46"/>
    <w:rsid w:val="004053E4"/>
    <w:rsid w:val="00410914"/>
    <w:rsid w:val="00412139"/>
    <w:rsid w:val="00470E52"/>
    <w:rsid w:val="00473397"/>
    <w:rsid w:val="004B70E9"/>
    <w:rsid w:val="004C094F"/>
    <w:rsid w:val="004D20F2"/>
    <w:rsid w:val="004F06BF"/>
    <w:rsid w:val="004F3FCD"/>
    <w:rsid w:val="004F4F4E"/>
    <w:rsid w:val="004F6F4E"/>
    <w:rsid w:val="004F7166"/>
    <w:rsid w:val="00501C7B"/>
    <w:rsid w:val="005205B9"/>
    <w:rsid w:val="00530F99"/>
    <w:rsid w:val="00535976"/>
    <w:rsid w:val="00536930"/>
    <w:rsid w:val="00545166"/>
    <w:rsid w:val="00545695"/>
    <w:rsid w:val="005524D9"/>
    <w:rsid w:val="00560424"/>
    <w:rsid w:val="005639BB"/>
    <w:rsid w:val="00564E53"/>
    <w:rsid w:val="005A5B57"/>
    <w:rsid w:val="005B15E3"/>
    <w:rsid w:val="005B1F58"/>
    <w:rsid w:val="005C7536"/>
    <w:rsid w:val="005F275B"/>
    <w:rsid w:val="005F4A2B"/>
    <w:rsid w:val="00604130"/>
    <w:rsid w:val="006045A7"/>
    <w:rsid w:val="00606B4A"/>
    <w:rsid w:val="00622106"/>
    <w:rsid w:val="00636EE2"/>
    <w:rsid w:val="00644FE2"/>
    <w:rsid w:val="0066053F"/>
    <w:rsid w:val="00672E1E"/>
    <w:rsid w:val="0067640C"/>
    <w:rsid w:val="00685834"/>
    <w:rsid w:val="006A2473"/>
    <w:rsid w:val="006C18D7"/>
    <w:rsid w:val="006C70FD"/>
    <w:rsid w:val="006C78A7"/>
    <w:rsid w:val="006E408B"/>
    <w:rsid w:val="006E678B"/>
    <w:rsid w:val="006F5069"/>
    <w:rsid w:val="0070257C"/>
    <w:rsid w:val="00702CFE"/>
    <w:rsid w:val="00710683"/>
    <w:rsid w:val="00741B09"/>
    <w:rsid w:val="00751363"/>
    <w:rsid w:val="007618BC"/>
    <w:rsid w:val="00764208"/>
    <w:rsid w:val="007757F3"/>
    <w:rsid w:val="0077650F"/>
    <w:rsid w:val="0078463E"/>
    <w:rsid w:val="00787A18"/>
    <w:rsid w:val="00794692"/>
    <w:rsid w:val="007A0A8A"/>
    <w:rsid w:val="007A440B"/>
    <w:rsid w:val="007C0A73"/>
    <w:rsid w:val="007D6842"/>
    <w:rsid w:val="007E3722"/>
    <w:rsid w:val="007E6AEB"/>
    <w:rsid w:val="00801ED3"/>
    <w:rsid w:val="00847581"/>
    <w:rsid w:val="0087291F"/>
    <w:rsid w:val="008812C2"/>
    <w:rsid w:val="0088298C"/>
    <w:rsid w:val="00887F07"/>
    <w:rsid w:val="0089678F"/>
    <w:rsid w:val="00896F02"/>
    <w:rsid w:val="008973EE"/>
    <w:rsid w:val="008D5AF0"/>
    <w:rsid w:val="008E1051"/>
    <w:rsid w:val="00914EF5"/>
    <w:rsid w:val="00920DF5"/>
    <w:rsid w:val="00953ABC"/>
    <w:rsid w:val="009715D3"/>
    <w:rsid w:val="00971600"/>
    <w:rsid w:val="00975DC5"/>
    <w:rsid w:val="00985106"/>
    <w:rsid w:val="00986165"/>
    <w:rsid w:val="009973B4"/>
    <w:rsid w:val="009A2DE9"/>
    <w:rsid w:val="009C28C1"/>
    <w:rsid w:val="009D650C"/>
    <w:rsid w:val="009E228B"/>
    <w:rsid w:val="009F4323"/>
    <w:rsid w:val="009F7EED"/>
    <w:rsid w:val="00A34FB9"/>
    <w:rsid w:val="00A45F66"/>
    <w:rsid w:val="00A4670F"/>
    <w:rsid w:val="00A513C4"/>
    <w:rsid w:val="00A6388E"/>
    <w:rsid w:val="00A70DDE"/>
    <w:rsid w:val="00A74BF9"/>
    <w:rsid w:val="00A75BCE"/>
    <w:rsid w:val="00AA1650"/>
    <w:rsid w:val="00AA2FF1"/>
    <w:rsid w:val="00AA3677"/>
    <w:rsid w:val="00AB018A"/>
    <w:rsid w:val="00AB52A3"/>
    <w:rsid w:val="00AC5004"/>
    <w:rsid w:val="00AD30DF"/>
    <w:rsid w:val="00AD4EE4"/>
    <w:rsid w:val="00AE30C9"/>
    <w:rsid w:val="00AE424B"/>
    <w:rsid w:val="00AF0AAB"/>
    <w:rsid w:val="00AF6D4E"/>
    <w:rsid w:val="00B101F3"/>
    <w:rsid w:val="00B21E48"/>
    <w:rsid w:val="00B24DBB"/>
    <w:rsid w:val="00B30AEF"/>
    <w:rsid w:val="00B35E9F"/>
    <w:rsid w:val="00B63FEF"/>
    <w:rsid w:val="00B92F44"/>
    <w:rsid w:val="00B94F94"/>
    <w:rsid w:val="00BC37A5"/>
    <w:rsid w:val="00BE3F2A"/>
    <w:rsid w:val="00BF4745"/>
    <w:rsid w:val="00BF597E"/>
    <w:rsid w:val="00C05173"/>
    <w:rsid w:val="00C077BA"/>
    <w:rsid w:val="00C32659"/>
    <w:rsid w:val="00C51969"/>
    <w:rsid w:val="00C51A36"/>
    <w:rsid w:val="00C55228"/>
    <w:rsid w:val="00C848C0"/>
    <w:rsid w:val="00C9337F"/>
    <w:rsid w:val="00C95074"/>
    <w:rsid w:val="00CC2489"/>
    <w:rsid w:val="00CD6690"/>
    <w:rsid w:val="00CE315A"/>
    <w:rsid w:val="00D06F59"/>
    <w:rsid w:val="00D21498"/>
    <w:rsid w:val="00D5656D"/>
    <w:rsid w:val="00D640CE"/>
    <w:rsid w:val="00D67AE4"/>
    <w:rsid w:val="00D8388C"/>
    <w:rsid w:val="00D92952"/>
    <w:rsid w:val="00DA2F95"/>
    <w:rsid w:val="00DA2FB1"/>
    <w:rsid w:val="00DB1A29"/>
    <w:rsid w:val="00DC5B16"/>
    <w:rsid w:val="00DD5C14"/>
    <w:rsid w:val="00DF4E8F"/>
    <w:rsid w:val="00E21F9E"/>
    <w:rsid w:val="00E35A82"/>
    <w:rsid w:val="00E4396D"/>
    <w:rsid w:val="00E459AE"/>
    <w:rsid w:val="00E5485A"/>
    <w:rsid w:val="00E82679"/>
    <w:rsid w:val="00EB0164"/>
    <w:rsid w:val="00ED0F62"/>
    <w:rsid w:val="00EE1AE7"/>
    <w:rsid w:val="00F006EF"/>
    <w:rsid w:val="00F00E0E"/>
    <w:rsid w:val="00F57C01"/>
    <w:rsid w:val="00F63B46"/>
    <w:rsid w:val="00FC354E"/>
    <w:rsid w:val="00FE0A5E"/>
    <w:rsid w:val="00FE233B"/>
    <w:rsid w:val="00FF1B06"/>
    <w:rsid w:val="00FF358E"/>
    <w:rsid w:val="01486283"/>
    <w:rsid w:val="021416D8"/>
    <w:rsid w:val="03DC0FCC"/>
    <w:rsid w:val="04343D46"/>
    <w:rsid w:val="044D4B75"/>
    <w:rsid w:val="045B56B3"/>
    <w:rsid w:val="04BA6B7A"/>
    <w:rsid w:val="05CD7495"/>
    <w:rsid w:val="06433CF5"/>
    <w:rsid w:val="071800C4"/>
    <w:rsid w:val="083C5F43"/>
    <w:rsid w:val="08537734"/>
    <w:rsid w:val="08815A9C"/>
    <w:rsid w:val="08A81132"/>
    <w:rsid w:val="08AE7BAD"/>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B93736"/>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ody Text Indent"/>
    <w:basedOn w:val="1"/>
    <w:qFormat/>
    <w:uiPriority w:val="0"/>
    <w:pPr>
      <w:ind w:firstLine="480" w:firstLineChars="200"/>
    </w:pPr>
    <w:rPr>
      <w:sz w:val="24"/>
    </w:rPr>
  </w:style>
  <w:style w:type="paragraph" w:styleId="7">
    <w:name w:val="Balloon Text"/>
    <w:basedOn w:val="1"/>
    <w:link w:val="14"/>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99"/>
    <w:rPr>
      <w:rFonts w:ascii="Times New Roman" w:hAnsi="Times New Roman" w:eastAsia="宋体" w:cs="Times New Roman"/>
      <w:sz w:val="18"/>
      <w:szCs w:val="18"/>
    </w:rPr>
  </w:style>
  <w:style w:type="character" w:customStyle="1" w:styleId="13">
    <w:name w:val="页脚 Char"/>
    <w:basedOn w:val="11"/>
    <w:link w:val="8"/>
    <w:qFormat/>
    <w:uiPriority w:val="99"/>
    <w:rPr>
      <w:rFonts w:ascii="Times New Roman" w:hAnsi="Times New Roman" w:eastAsia="宋体" w:cs="Times New Roman"/>
      <w:sz w:val="18"/>
      <w:szCs w:val="18"/>
    </w:rPr>
  </w:style>
  <w:style w:type="character" w:customStyle="1" w:styleId="14">
    <w:name w:val="批注框文本 Char"/>
    <w:basedOn w:val="11"/>
    <w:link w:val="7"/>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6210</Words>
  <Characters>6581</Characters>
  <Lines>49</Lines>
  <Paragraphs>13</Paragraphs>
  <TotalTime>14</TotalTime>
  <ScaleCrop>false</ScaleCrop>
  <LinksUpToDate>false</LinksUpToDate>
  <CharactersWithSpaces>6741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2022-08-05T06:15:00Z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CCED7A07371B471FA1A3DAC93E775E7F</vt:lpwstr>
  </property>
</Properties>
</file>