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河北雄安维凌商务服务有限公司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35.15.00,35.16.01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张会领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35.15.00,35.16.01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业务洽谈→合同评审→签订合同→物业管理、保洁服务→检验→顾客满意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  <w:t>物业管理；保洁服务</w:t>
            </w:r>
            <w:r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  <w:t>过程；</w:t>
            </w:r>
            <w:r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  <w:t>服务质量，顾客满意度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中华人民共和国计量法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中华人民共和国标准化法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中华人民共和国民法典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中华人民共和国劳动法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SB/T1-595-2011清洁行业经营服务规范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城市生活垃圾管理办法 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物业管理条例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保安服务管理条例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河北省物业管理条例实施细则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2022年7月14日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2022年7月14日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河北雄安维凌商务服务有限公司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35.15.00,35.16.01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张会领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35.15.00,35.16.01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业务洽谈→合同评审→签订合同→物业管理、保洁服务→检验→顾客满意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潜在火灾、固废排放；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分类收集、</w:t>
            </w:r>
            <w:r>
              <w:rPr>
                <w:rFonts w:hint="eastAsia"/>
                <w:b/>
                <w:sz w:val="20"/>
              </w:rPr>
              <w:t>应急准备和响应控制程序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管理方案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中华人民共和国环境保护法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中华人民共和国安全消防法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河北省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消防条例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、中华人民共和国固体废物污染环境防治法、城市生活垃圾管理办法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2022年7月14日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2022年7月14日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河北雄安维凌商务服务有限公司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35.15.00,35.16.01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35.15.00,35.16.01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业务洽谈→合同评审→签订合同→物业管理、保洁服务→检验→顾客满意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潜在火灾、机械伤害、触电伤害。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管理方案和预案措施管理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eastAsia="zh-CN"/>
              </w:rPr>
              <w:t>中华人民共和国劳动合同法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eastAsia="zh-CN"/>
              </w:rPr>
              <w:t>中华人民共和国安全生产法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val="en-US" w:eastAsia="zh-CN"/>
              </w:rPr>
              <w:t>中华人民共和国消防法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eastAsia="zh-CN"/>
              </w:rPr>
              <w:t>工作场所职业卫生监督管理规定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eastAsia="zh-CN"/>
              </w:rPr>
              <w:t>企业职工伤亡事故调查分析规则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val="en-US" w:eastAsia="zh-CN"/>
              </w:rPr>
              <w:t>突发公共卫生事件应急条例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2022年7月14日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2022年7月14日</w:t>
            </w:r>
            <w:bookmarkStart w:id="3" w:name="_GoBack"/>
            <w:bookmarkEnd w:id="3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49F23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2022-07-15T01:32:14Z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