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6195" cy="9416415"/>
            <wp:effectExtent l="0" t="0" r="1905" b="6985"/>
            <wp:docPr id="2" name="图片 2" descr="新文档 2022-07-17 16.58.4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7-17 16.58.45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4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5560" cy="9472295"/>
            <wp:effectExtent l="0" t="0" r="2540" b="1905"/>
            <wp:docPr id="1" name="图片 1" descr="新文档 2022-07-17 16.58.4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7-17 16.58.45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47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5560" cy="9197340"/>
            <wp:effectExtent l="0" t="0" r="2540" b="10160"/>
            <wp:docPr id="3" name="图片 3" descr="新文档 2022-07-17 16.58.4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07-17 16.58.45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47"/>
        <w:gridCol w:w="234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4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河北慧圃家具有限公司</w:t>
            </w:r>
            <w:bookmarkEnd w:id="11"/>
          </w:p>
        </w:tc>
        <w:tc>
          <w:tcPr>
            <w:tcW w:w="23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郭瑞兰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47" w:type="dxa"/>
            <w:vAlign w:val="center"/>
          </w:tcPr>
          <w:p>
            <w:pPr>
              <w:spacing w:before="120" w:line="360" w:lineRule="auto"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2349" w:type="dxa"/>
            <w:vAlign w:val="center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480" w:lineRule="auto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现场提供的“外来文件清单”中的质量环境职业健康安全体系标准、《木家具通用技术条件》非现行有效版本；“环境法律法规清单”中的中华人民共和国噪声污染防治法实施日期不符，缺少《工业企业厂界环境噪声排放标准》；“职业健康安全法律法规清单”中缺少中华人民共和国劳动法。</w:t>
            </w:r>
          </w:p>
          <w:p>
            <w:pPr>
              <w:spacing w:before="120" w:line="48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E73D9D"/>
    <w:rsid w:val="6D437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2022-07-19T01:18:55Z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