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0869-2022-QEO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雄县雄州镇洪斌超市</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雄县雄州镇洪斌超市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雄县县医院对过</w:t>
            </w:r>
            <w:bookmarkEnd w:id="6"/>
          </w:p>
        </w:tc>
        <w:tc>
          <w:tcPr>
            <w:tcW w:w="1242" w:type="dxa"/>
            <w:vMerge w:val="restart"/>
            <w:vAlign w:val="center"/>
          </w:tcPr>
          <w:p>
            <w:r>
              <w:rPr>
                <w:rFonts w:hint="eastAsia"/>
              </w:rPr>
              <w:t>邮编</w:t>
            </w:r>
          </w:p>
        </w:tc>
        <w:tc>
          <w:tcPr>
            <w:tcW w:w="1771" w:type="dxa"/>
          </w:tcPr>
          <w:p>
            <w:bookmarkStart w:id="7" w:name="注册邮编"/>
            <w:r>
              <w:t>071800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雄县县医院对过</w:t>
            </w:r>
            <w:bookmarkEnd w:id="8"/>
          </w:p>
        </w:tc>
        <w:tc>
          <w:tcPr>
            <w:tcW w:w="1242" w:type="dxa"/>
            <w:vMerge w:val="continue"/>
            <w:vAlign w:val="center"/>
          </w:tcPr>
          <w:p/>
        </w:tc>
        <w:tc>
          <w:tcPr>
            <w:tcW w:w="1771" w:type="dxa"/>
          </w:tcPr>
          <w:p>
            <w:bookmarkStart w:id="9" w:name="办公邮编"/>
            <w:r>
              <w:t>071800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王会田</w:t>
            </w:r>
            <w:bookmarkEnd w:id="10"/>
          </w:p>
        </w:tc>
        <w:tc>
          <w:tcPr>
            <w:tcW w:w="1313" w:type="dxa"/>
            <w:vAlign w:val="center"/>
          </w:tcPr>
          <w:p>
            <w:r>
              <w:rPr>
                <w:rFonts w:hint="eastAsia"/>
              </w:rPr>
              <w:t>电话.</w:t>
            </w:r>
          </w:p>
        </w:tc>
        <w:tc>
          <w:tcPr>
            <w:tcW w:w="2180" w:type="dxa"/>
            <w:vAlign w:val="center"/>
          </w:tcPr>
          <w:p>
            <w:bookmarkStart w:id="11" w:name="联系人电话"/>
            <w:r>
              <w:t>13933205801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王会田</w:t>
            </w:r>
            <w:bookmarkEnd w:id="13"/>
          </w:p>
        </w:tc>
        <w:tc>
          <w:tcPr>
            <w:tcW w:w="1313" w:type="dxa"/>
            <w:vAlign w:val="center"/>
          </w:tcPr>
          <w:p>
            <w:r>
              <w:rPr>
                <w:rFonts w:hint="eastAsia"/>
              </w:rPr>
              <w:t>管理者代表</w:t>
            </w:r>
          </w:p>
        </w:tc>
        <w:tc>
          <w:tcPr>
            <w:tcW w:w="2180" w:type="dxa"/>
          </w:tcPr>
          <w:p>
            <w:bookmarkStart w:id="14" w:name="管理者代表"/>
            <w:r>
              <w:t>王会田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rPr>
                <w:rFonts w:ascii="Times New Roman" w:hAnsi="Times New Roman" w:eastAsia="宋体" w:cs="Times New Roman"/>
                <w:kern w:val="2"/>
                <w:sz w:val="21"/>
                <w:szCs w:val="24"/>
                <w:lang w:val="en-US" w:eastAsia="zh-CN" w:bidi="ar-SA"/>
              </w:rPr>
            </w:pPr>
            <w:r>
              <w:rPr>
                <w:rFonts w:hint="eastAsia" w:ascii="宋体" w:hAnsi="宋体" w:eastAsia="宋体" w:cs="宋体"/>
                <w:kern w:val="2"/>
                <w:sz w:val="21"/>
                <w:szCs w:val="21"/>
                <w:lang w:val="en-US" w:eastAsia="zh-CN" w:bidi="ar-SA"/>
              </w:rPr>
              <w:t>商品采购---采购验收---商品入库---商品陈列---零售---售后服务</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2022年07月13日 下午至2022年07月14日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Q：预包装食品、蔬菜、水果、生肉、粮油、日用杂货的零售</w:t>
            </w:r>
          </w:p>
          <w:p>
            <w:r>
              <w:t>E：预包装食品、蔬菜、水果、生肉、粮油、日用杂货的零售所涉及场所的相关环境管理活动</w:t>
            </w:r>
          </w:p>
          <w:p>
            <w:r>
              <w:t>O：预包装食品、蔬菜、水果、生肉、粮油、日用杂货的零售所涉及场所的相关职业健康安全管理活动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Q：29.13.01;29.14.01;29.14.02;29.14.07</w:t>
            </w:r>
          </w:p>
          <w:p>
            <w:r>
              <w:t>E：29.13.01;29.14.01;29.14.02;29.14.07</w:t>
            </w:r>
          </w:p>
          <w:p>
            <w:r>
              <w:t>O：29.13.01;29.14.01;29.14.02;29.14.07</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default" w:eastAsia="宋体"/>
                <w:lang w:val="en-US" w:eastAsia="zh-CN"/>
              </w:rPr>
            </w:pPr>
            <w:r>
              <w:rPr>
                <w:rFonts w:hint="eastAsia"/>
                <w:lang w:val="en-US" w:eastAsia="zh-CN"/>
              </w:rPr>
              <w:t>2022年1月5日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雄县雄州镇洪斌超市</w:t>
            </w:r>
            <w:r>
              <w:rPr>
                <w:rFonts w:hint="eastAsia"/>
                <w:sz w:val="21"/>
                <w:szCs w:val="21"/>
                <w:lang w:val="en-US" w:eastAsia="zh-CN"/>
              </w:rPr>
              <w:t>/</w:t>
            </w:r>
            <w:r>
              <w:rPr>
                <w:rFonts w:asciiTheme="minorEastAsia" w:hAnsiTheme="minorEastAsia" w:eastAsiaTheme="minorEastAsia"/>
                <w:sz w:val="20"/>
              </w:rPr>
              <w:t>雄县县医院对过</w:t>
            </w:r>
          </w:p>
        </w:tc>
        <w:tc>
          <w:tcPr>
            <w:tcW w:w="2267" w:type="dxa"/>
          </w:tcPr>
          <w:p>
            <w:pPr>
              <w:rPr>
                <w:lang w:val="de-DE" w:eastAsia="ja-JP"/>
              </w:rPr>
            </w:pPr>
            <w:r>
              <w:rPr>
                <w:rFonts w:asciiTheme="minorEastAsia" w:hAnsiTheme="minorEastAsia" w:eastAsiaTheme="minorEastAsia"/>
                <w:sz w:val="20"/>
              </w:rPr>
              <w:t>雄县县医院对过</w:t>
            </w:r>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sz w:val="20"/>
              </w:rPr>
            </w:pPr>
            <w:r>
              <w:rPr>
                <w:sz w:val="20"/>
              </w:rPr>
              <w:t>Q：预包装食品、蔬菜、水果、生肉、粮油、日用杂货的零售</w:t>
            </w:r>
          </w:p>
          <w:p>
            <w:pPr>
              <w:rPr>
                <w:sz w:val="20"/>
              </w:rPr>
            </w:pPr>
            <w:r>
              <w:rPr>
                <w:sz w:val="20"/>
              </w:rPr>
              <w:t>E：预包装食品、蔬菜、水果、生肉、粮油、日用杂货的零售所涉及场所的相关环境管理活动</w:t>
            </w:r>
          </w:p>
          <w:p>
            <w:pPr>
              <w:rPr>
                <w:lang w:eastAsia="ja-JP"/>
              </w:rPr>
            </w:pPr>
            <w:r>
              <w:rPr>
                <w:sz w:val="20"/>
              </w:rPr>
              <w:t>O：预包装食品、蔬菜、水果、生肉、粮油、日用杂货的零售所涉及场所的相关职业健康安全管理活动</w:t>
            </w:r>
          </w:p>
        </w:tc>
        <w:tc>
          <w:tcPr>
            <w:tcW w:w="669" w:type="dxa"/>
            <w:vAlign w:val="center"/>
          </w:tcPr>
          <w:p>
            <w:pPr>
              <w:spacing w:before="40" w:after="40"/>
              <w:rPr>
                <w:rFonts w:hint="eastAsia" w:ascii="宋体" w:hAnsi="宋体"/>
                <w:b/>
                <w:sz w:val="21"/>
                <w:szCs w:val="21"/>
              </w:rPr>
            </w:pPr>
            <w:r>
              <w:rPr>
                <w:rFonts w:hint="eastAsia" w:ascii="宋体" w:hAnsi="宋体"/>
                <w:b/>
                <w:sz w:val="21"/>
                <w:szCs w:val="21"/>
              </w:rPr>
              <w:t>GB/T19001-2016</w:t>
            </w:r>
          </w:p>
          <w:p>
            <w:pPr>
              <w:spacing w:before="40" w:after="40"/>
              <w:rPr>
                <w:rFonts w:hint="eastAsia" w:ascii="宋体" w:hAnsi="宋体"/>
                <w:b/>
                <w:sz w:val="21"/>
                <w:szCs w:val="21"/>
              </w:rPr>
            </w:pPr>
            <w:r>
              <w:rPr>
                <w:rFonts w:hint="eastAsia" w:ascii="宋体" w:hAnsi="宋体"/>
                <w:b/>
                <w:sz w:val="21"/>
                <w:szCs w:val="21"/>
              </w:rPr>
              <w:t>GB/T24001-2016</w:t>
            </w:r>
          </w:p>
          <w:p>
            <w:pPr>
              <w:spacing w:before="40" w:after="40"/>
              <w:rPr>
                <w:rFonts w:hint="eastAsia" w:ascii="宋体" w:hAnsi="宋体" w:eastAsia="宋体" w:cs="Times New Roman"/>
                <w:b/>
                <w:kern w:val="2"/>
                <w:sz w:val="21"/>
                <w:szCs w:val="21"/>
                <w:lang w:val="en-US" w:eastAsia="ja-JP" w:bidi="ar-SA"/>
              </w:rPr>
            </w:pPr>
            <w:r>
              <w:rPr>
                <w:rFonts w:hint="eastAsia" w:ascii="宋体" w:hAnsi="宋体"/>
                <w:b/>
                <w:sz w:val="21"/>
                <w:szCs w:val="21"/>
              </w:rPr>
              <w:t>GB/T 45001-2020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E:29.13.01,29.14.01,29.14.02,29.14.07</w:t>
            </w:r>
          </w:p>
          <w:p>
            <w:r>
              <w:t>O:29.13.01,29.14.01,29.14.02,29.14.07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强兴</w:t>
            </w:r>
          </w:p>
        </w:tc>
        <w:tc>
          <w:tcPr>
            <w:tcW w:w="1089" w:type="dxa"/>
            <w:vAlign w:val="center"/>
          </w:tcPr>
          <w:p>
            <w:r>
              <w:t>组员</w:t>
            </w:r>
          </w:p>
        </w:tc>
        <w:tc>
          <w:tcPr>
            <w:tcW w:w="711" w:type="dxa"/>
            <w:vAlign w:val="center"/>
          </w:tcPr>
          <w:p>
            <w:r>
              <w:t>男</w:t>
            </w:r>
          </w:p>
        </w:tc>
        <w:tc>
          <w:tcPr>
            <w:tcW w:w="3870" w:type="dxa"/>
            <w:vAlign w:val="center"/>
          </w:tcPr>
          <w:p>
            <w:r>
              <w:t>2020-N1QMS-1263375</w:t>
            </w:r>
          </w:p>
          <w:p>
            <w:r>
              <w:t>2020-N1EMS-1263375</w:t>
            </w:r>
          </w:p>
          <w:p>
            <w:r>
              <w:t>2021-N1OHSMS-1263375</w:t>
            </w:r>
          </w:p>
        </w:tc>
        <w:tc>
          <w:tcPr>
            <w:tcW w:w="2179" w:type="dxa"/>
            <w:vAlign w:val="center"/>
          </w:tcPr>
          <w:p>
            <w:r>
              <w:t>Q:29.13.01,29.14.01,29.14.02,29.14.07</w:t>
            </w:r>
          </w:p>
          <w:p>
            <w:r>
              <w:t>E:29.13.01,29.14.01,29.14.02,29.14.07</w:t>
            </w:r>
          </w:p>
          <w:p>
            <w:r>
              <w:t>O:29.13.01,29.14.01,29.14.02,29.14.07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预包装食品、蔬菜、水果、生肉、粮油、日用杂货的零售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预包装食品、蔬菜、水果、生肉、粮油、日用杂货的零售所涉及场所的相关环境管理活动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预包装食品、蔬菜、水果、生肉、粮油、日用杂货的零售所涉及场所的相关职业健康安全管理活动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447675</wp:posOffset>
                  </wp:positionH>
                  <wp:positionV relativeFrom="paragraph">
                    <wp:posOffset>69215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2022年7月15日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A3"/>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keepNext w:val="0"/>
              <w:keepLines w:val="0"/>
              <w:pageBreakBefore w:val="0"/>
              <w:widowControl/>
              <w:suppressLineNumbers w:val="0"/>
              <w:kinsoku/>
              <w:wordWrap/>
              <w:topLinePunct w:val="0"/>
              <w:bidi w:val="0"/>
              <w:spacing w:line="240" w:lineRule="auto"/>
              <w:jc w:val="left"/>
              <w:rPr>
                <w:rFonts w:hint="eastAsia" w:ascii="宋体" w:hAnsi="宋体" w:cs="宋体"/>
                <w:color w:val="auto"/>
                <w:kern w:val="0"/>
                <w:sz w:val="21"/>
                <w:szCs w:val="21"/>
                <w:lang w:val="en-US" w:eastAsia="zh-CN" w:bidi="ar"/>
              </w:rPr>
            </w:pPr>
            <w:r>
              <w:rPr>
                <w:rFonts w:hint="eastAsia"/>
              </w:rPr>
              <w:t>最高管理者制定了文件化的管理体系方针：</w:t>
            </w:r>
            <w:r>
              <w:rPr>
                <w:rFonts w:hint="eastAsia" w:ascii="宋体" w:hAnsi="宋体" w:eastAsia="宋体" w:cs="宋体"/>
                <w:color w:val="auto"/>
                <w:kern w:val="0"/>
                <w:sz w:val="21"/>
                <w:szCs w:val="21"/>
                <w:lang w:val="en-US" w:eastAsia="zh-CN" w:bidi="ar"/>
              </w:rPr>
              <w:t>顾客满意、质量优先、服务一流、持续改进</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topLinePunct w:val="0"/>
              <w:bidi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营造绿色环境，遵守法律法规，提高环境意识；</w:t>
            </w:r>
          </w:p>
          <w:p>
            <w:pPr>
              <w:keepNext w:val="0"/>
              <w:keepLines w:val="0"/>
              <w:pageBreakBefore w:val="0"/>
              <w:widowControl/>
              <w:suppressLineNumbers w:val="0"/>
              <w:kinsoku/>
              <w:wordWrap/>
              <w:topLinePunct w:val="0"/>
              <w:bidi w:val="0"/>
              <w:spacing w:line="240" w:lineRule="auto"/>
              <w:jc w:val="left"/>
              <w:rPr>
                <w:u w:val="single"/>
              </w:rPr>
            </w:pPr>
            <w:r>
              <w:rPr>
                <w:rFonts w:hint="eastAsia" w:ascii="宋体" w:hAnsi="宋体" w:eastAsia="宋体" w:cs="宋体"/>
                <w:color w:val="auto"/>
                <w:kern w:val="0"/>
                <w:sz w:val="21"/>
                <w:szCs w:val="21"/>
                <w:lang w:val="en-US" w:eastAsia="zh-CN" w:bidi="ar"/>
              </w:rPr>
              <w:t>推进控制保护，提高人员素质，持续改进管理。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销售部</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质量不良造成客户流失</w:t>
                  </w:r>
                </w:p>
              </w:tc>
              <w:tc>
                <w:tcPr>
                  <w:tcW w:w="3965" w:type="dxa"/>
                  <w:vAlign w:val="top"/>
                </w:tcPr>
                <w:p>
                  <w:pPr>
                    <w:pStyle w:val="25"/>
                    <w:snapToGrid w:val="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管理部门根据标准进行服务质量把控，并编制作业指导书，业务管理部门需与客户沟通好产品质量要求，确保公司与客户双方质量要求一致；</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产品交付顾客验收合格率100%</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ascii="宋体" w:hAnsi="宋体"/>
                      <w:sz w:val="24"/>
                    </w:rPr>
                    <w:t>合格</w:t>
                  </w:r>
                  <w:r>
                    <w:rPr>
                      <w:rFonts w:hint="eastAsia" w:ascii="宋体" w:hAnsi="宋体"/>
                      <w:sz w:val="24"/>
                      <w:lang w:val="en-US" w:eastAsia="zh-CN"/>
                    </w:rPr>
                    <w:t>次数</w:t>
                  </w:r>
                  <w:r>
                    <w:rPr>
                      <w:rFonts w:hint="eastAsia" w:ascii="宋体" w:hAnsi="宋体"/>
                      <w:sz w:val="24"/>
                    </w:rPr>
                    <w:t>/交付批次</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顾客满意度≥90%</w:t>
                  </w: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cs="宋体" w:asciiTheme="minorEastAsia" w:hAnsiTheme="minorEastAsia" w:eastAsiaTheme="minorEastAsia"/>
                      <w:color w:val="auto"/>
                      <w:kern w:val="0"/>
                      <w:sz w:val="21"/>
                      <w:szCs w:val="21"/>
                    </w:rPr>
                    <w:t>销售服务质量考核合格率≥95%</w:t>
                  </w:r>
                </w:p>
              </w:tc>
              <w:tc>
                <w:tcPr>
                  <w:tcW w:w="3136"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sz w:val="24"/>
                      <w:lang w:val="en-US" w:eastAsia="zh-CN"/>
                    </w:rPr>
                    <w:t>考核合格率</w:t>
                  </w:r>
                  <w:r>
                    <w:rPr>
                      <w:rFonts w:hint="eastAsia" w:ascii="宋体" w:hAnsi="宋体"/>
                      <w:sz w:val="24"/>
                    </w:rPr>
                    <w:t>/</w:t>
                  </w:r>
                  <w:r>
                    <w:rPr>
                      <w:rFonts w:hint="eastAsia" w:ascii="宋体" w:hAnsi="宋体"/>
                      <w:sz w:val="24"/>
                      <w:lang w:val="en-US" w:eastAsia="zh-CN"/>
                    </w:rPr>
                    <w:t>考核次数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100</w:t>
            </w:r>
            <w:r>
              <w:rPr>
                <w:rFonts w:hint="eastAsia"/>
              </w:rPr>
              <w:t>平方米；生产车间个；库房</w:t>
            </w:r>
            <w:r>
              <w:rPr>
                <w:rFonts w:hint="eastAsia"/>
                <w:lang w:val="en-US" w:eastAsia="zh-CN"/>
              </w:rPr>
              <w:t>1</w:t>
            </w:r>
            <w:r>
              <w:rPr>
                <w:rFonts w:hint="eastAsia"/>
              </w:rPr>
              <w:t>个；实验室个；</w:t>
            </w:r>
          </w:p>
          <w:p>
            <w:pPr>
              <w:shd w:val="clear" w:color="auto" w:fill="C7DAF1" w:themeFill="text2" w:themeFillTint="32"/>
              <w:rPr>
                <w:u w:val="single"/>
              </w:rPr>
            </w:pPr>
            <w:r>
              <w:rPr>
                <w:rFonts w:hint="eastAsia"/>
              </w:rPr>
              <w:t>主要生产设备有：</w:t>
            </w:r>
            <w:r>
              <w:rPr>
                <w:rFonts w:hint="eastAsia"/>
                <w:lang w:val="en-US" w:eastAsia="zh-CN"/>
              </w:rPr>
              <w:t>电脑、电子秤</w:t>
            </w:r>
            <w:r>
              <w:rPr>
                <w:rFonts w:hint="eastAsia"/>
                <w:u w:val="single"/>
              </w:rPr>
              <w:t>（列举2~4种）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lang w:val="en-US" w:eastAsia="zh-CN"/>
              </w:rPr>
              <w:t>电子秤</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零售服务</w:t>
                  </w:r>
                </w:p>
              </w:tc>
              <w:tc>
                <w:tcPr>
                  <w:tcW w:w="3665" w:type="dxa"/>
                </w:tcPr>
                <w:p>
                  <w:pPr>
                    <w:shd w:val="clear" w:color="auto" w:fill="C7DAF1" w:themeFill="text2" w:themeFillTint="32"/>
                    <w:jc w:val="left"/>
                  </w:pPr>
                  <w:r>
                    <w:rPr>
                      <w:rFonts w:hint="eastAsia"/>
                      <w:lang w:val="en-US" w:eastAsia="zh-CN"/>
                    </w:rPr>
                    <w:t>零售服务</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服务质量，顾客满意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零售服务</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2022年5月16日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2022年5月26日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49" w:type="dxa"/>
            <w:vAlign w:val="center"/>
          </w:tcPr>
          <w:p>
            <w:pPr>
              <w:shd w:val="clear" w:color="auto" w:fill="C7DAF1" w:themeFill="text2" w:themeFillTint="32"/>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50" w:type="dxa"/>
            <w:vAlign w:val="center"/>
          </w:tcPr>
          <w:p>
            <w:pPr>
              <w:shd w:val="clear" w:color="auto" w:fill="C7DAF1" w:themeFill="text2" w:themeFillTint="32"/>
              <w:rPr>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A3"/>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□政治 □监管  </w:t>
                  </w:r>
                  <w:r>
                    <w:rPr>
                      <w:rFonts w:hint="eastAsia"/>
                    </w:rPr>
                    <w:sym w:font="Wingdings 2" w:char="0052"/>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□知识 </w:t>
                  </w:r>
                  <w:r>
                    <w:rPr>
                      <w:rFonts w:hint="eastAsia"/>
                    </w:rPr>
                    <w:sym w:font="Wingdings 2" w:char="00A3"/>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keepNext w:val="0"/>
              <w:keepLines w:val="0"/>
              <w:pageBreakBefore w:val="0"/>
              <w:widowControl/>
              <w:suppressLineNumbers w:val="0"/>
              <w:kinsoku/>
              <w:wordWrap/>
              <w:topLinePunct w:val="0"/>
              <w:bidi w:val="0"/>
              <w:spacing w:line="240" w:lineRule="auto"/>
              <w:jc w:val="left"/>
              <w:rPr>
                <w:rFonts w:hint="eastAsia" w:ascii="宋体" w:hAnsi="宋体" w:cs="宋体"/>
                <w:color w:val="auto"/>
                <w:kern w:val="0"/>
                <w:sz w:val="21"/>
                <w:szCs w:val="21"/>
                <w:lang w:val="en-US" w:eastAsia="zh-CN" w:bidi="ar"/>
              </w:rPr>
            </w:pPr>
            <w:r>
              <w:rPr>
                <w:rFonts w:hint="eastAsia"/>
              </w:rPr>
              <w:t>最高管理者制定了文件化的管理体系方针：</w:t>
            </w:r>
            <w:r>
              <w:rPr>
                <w:rFonts w:hint="eastAsia" w:ascii="宋体" w:hAnsi="宋体" w:eastAsia="宋体" w:cs="宋体"/>
                <w:color w:val="auto"/>
                <w:kern w:val="0"/>
                <w:sz w:val="21"/>
                <w:szCs w:val="21"/>
                <w:lang w:val="en-US" w:eastAsia="zh-CN" w:bidi="ar"/>
              </w:rPr>
              <w:t>顾客满意、质量优先、服务一流、持续改进</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topLinePunct w:val="0"/>
              <w:bidi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营造绿色环境，遵守法律法规，提高环境意识；</w:t>
            </w:r>
          </w:p>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ascii="宋体" w:hAnsi="宋体" w:eastAsia="宋体" w:cs="宋体"/>
                <w:color w:val="auto"/>
                <w:kern w:val="0"/>
                <w:sz w:val="21"/>
                <w:szCs w:val="21"/>
                <w:lang w:val="en-US" w:eastAsia="zh-CN" w:bidi="ar"/>
              </w:rPr>
              <w:t>推进控制保护，提高人员素质，持续改进管理。</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国家政策改变、地理环境变化、外部环境变化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ascii="Times New Roman" w:hAnsi="Times New Roman" w:eastAsia="宋体" w:cs="Times New Roman"/>
                <w:kern w:val="2"/>
                <w:sz w:val="21"/>
                <w:szCs w:val="24"/>
                <w:highlight w:val="cyan"/>
                <w:lang w:val="en-US" w:eastAsia="zh-CN" w:bidi="ar-SA"/>
              </w:rPr>
            </w:pPr>
            <w:r>
              <w:rPr>
                <w:rFonts w:hint="eastAsia"/>
              </w:rPr>
              <w:sym w:font="Wingdings 2" w:char="0052"/>
            </w:r>
            <w:r>
              <w:rPr>
                <w:rFonts w:hint="eastAsia"/>
              </w:rPr>
              <w:t>能源消耗</w:t>
            </w:r>
            <w:r>
              <w:rPr>
                <w:rFonts w:hint="eastAsia"/>
              </w:rPr>
              <w:sym w:font="Wingdings 2" w:char="0052"/>
            </w:r>
            <w:r>
              <w:rPr>
                <w:rFonts w:hint="eastAsia"/>
              </w:rPr>
              <w:t>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固废分类处理率100%</w:t>
                  </w:r>
                </w:p>
              </w:tc>
              <w:tc>
                <w:tcPr>
                  <w:tcW w:w="3136" w:type="dxa"/>
                  <w:shd w:val="clear" w:color="auto" w:fill="auto"/>
                  <w:vAlign w:val="center"/>
                </w:tcPr>
                <w:p>
                  <w:pPr>
                    <w:shd w:val="clear" w:color="auto" w:fill="EBF1DE" w:themeFill="accent3" w:themeFillTint="32"/>
                    <w:rPr>
                      <w:rFonts w:hint="eastAsia" w:ascii="楷体" w:hAnsi="楷体" w:eastAsia="楷体" w:cs="楷体"/>
                      <w:kern w:val="0"/>
                      <w:sz w:val="22"/>
                      <w:szCs w:val="24"/>
                      <w:lang w:val="en-GB" w:eastAsia="zh-CN" w:bidi="ar-SA"/>
                    </w:rPr>
                  </w:pPr>
                  <w:r>
                    <w:rPr>
                      <w:rFonts w:hint="eastAsia" w:ascii="楷体" w:hAnsi="楷体" w:eastAsia="楷体" w:cs="楷体"/>
                      <w:kern w:val="0"/>
                      <w:sz w:val="22"/>
                      <w:lang w:val="en-US" w:eastAsia="zh-CN"/>
                    </w:rPr>
                    <w:t>管理方案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火灾事故为0</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ascii="楷体" w:hAnsi="楷体" w:eastAsia="楷体" w:cs="楷体"/>
                      <w:kern w:val="0"/>
                      <w:sz w:val="22"/>
                      <w:lang w:val="en-US" w:eastAsia="zh-CN"/>
                    </w:rPr>
                    <w:t>管理方案、应急预案</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shd w:val="clear" w:color="auto" w:fill="EBF1DE" w:themeFill="accent3" w:themeFillTint="32"/>
              <w:rPr>
                <w:u w:val="single"/>
              </w:rPr>
            </w:pPr>
            <w:r>
              <w:rPr>
                <w:rFonts w:hint="eastAsia"/>
              </w:rPr>
              <w:t>主要生产设备有：</w:t>
            </w:r>
            <w:r>
              <w:rPr>
                <w:rFonts w:hint="eastAsia"/>
                <w:lang w:val="en-US" w:eastAsia="zh-CN"/>
              </w:rPr>
              <w:t>电脑，电子秤</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A3"/>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制定环境管理方案、运行控制程序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2022年3月30日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2022年5月12日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2022年5月16日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最高管理者已按策划的时间间隔，在</w:t>
            </w:r>
            <w:r>
              <w:rPr>
                <w:rFonts w:hint="eastAsia"/>
                <w:lang w:val="en-US" w:eastAsia="zh-CN"/>
              </w:rPr>
              <w:t>2022年5月26日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7.3</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7.4</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7.5</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8.2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9.1</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9.2</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eastAsia="宋体" w:cs="Times New Roman"/>
                <w:kern w:val="2"/>
                <w:sz w:val="21"/>
                <w:szCs w:val="24"/>
                <w:highlight w:val="none"/>
                <w:lang w:val="en-US" w:eastAsia="zh-CN" w:bidi="ar-SA"/>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eastAsia="宋体" w:cs="Times New Roman"/>
                <w:kern w:val="2"/>
                <w:sz w:val="21"/>
                <w:szCs w:val="24"/>
                <w:highlight w:val="none"/>
                <w:lang w:val="en-US" w:eastAsia="zh-CN" w:bidi="ar-SA"/>
              </w:rPr>
              <w:t>3</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highlight w:val="none"/>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79"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c>
          <w:tcPr>
            <w:tcW w:w="780" w:type="dxa"/>
            <w:shd w:val="clear" w:color="auto" w:fill="EBF1DE" w:themeFill="accent3" w:themeFillTint="32"/>
            <w:vAlign w:val="center"/>
          </w:tcPr>
          <w:p>
            <w:pPr>
              <w:shd w:val="clear" w:color="auto" w:fill="EBF1DE" w:themeFill="accent3" w:themeFillTint="32"/>
              <w:rPr>
                <w:rFonts w:ascii="Times New Roman" w:hAnsi="Times New Roman" w:eastAsia="宋体" w:cs="Times New Roman"/>
                <w:kern w:val="2"/>
                <w:sz w:val="21"/>
                <w:szCs w:val="24"/>
                <w:lang w:val="en-US" w:eastAsia="ja-JP" w:bidi="ar-SA"/>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vAlign w:val="top"/>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文化□知识□绩效□工艺□设备</w:t>
                  </w:r>
                  <w:r>
                    <w:rPr>
                      <w:rFonts w:hint="eastAsia"/>
                    </w:rPr>
                    <w:sym w:font="Wingdings 2" w:char="0052"/>
                  </w:r>
                  <w:r>
                    <w:rPr>
                      <w:rFonts w:hint="eastAsia"/>
                    </w:rPr>
                    <w:t>人员能力</w:t>
                  </w:r>
                </w:p>
                <w:p>
                  <w:pPr>
                    <w:rPr>
                      <w:rFonts w:ascii="Times New Roman" w:hAnsi="Times New Roman" w:eastAsia="宋体" w:cs="Times New Roman"/>
                      <w:kern w:val="2"/>
                      <w:sz w:val="21"/>
                      <w:szCs w:val="24"/>
                      <w:lang w:val="en-US" w:eastAsia="zh-CN" w:bidi="ar-SA"/>
                    </w:rPr>
                  </w:pPr>
                  <w:r>
                    <w:rPr>
                      <w:rFonts w:hint="eastAsia"/>
                    </w:rPr>
                    <w:t>□员工关系□其他</w:t>
                  </w:r>
                </w:p>
              </w:tc>
            </w:tr>
          </w:tbl>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pPr>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pPr>
              <w:rPr>
                <w:rFonts w:ascii="Times New Roman" w:hAnsi="Times New Roman" w:eastAsia="宋体" w:cs="Times New Roman"/>
                <w:kern w:val="2"/>
                <w:sz w:val="21"/>
                <w:szCs w:val="24"/>
                <w:lang w:val="en-US" w:eastAsia="zh-CN" w:bidi="ar-SA"/>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最高管理者制定了文件化的职业健康安全管理体系方针：</w:t>
            </w:r>
          </w:p>
          <w:p>
            <w:pPr>
              <w:keepNext w:val="0"/>
              <w:keepLines w:val="0"/>
              <w:pageBreakBefore w:val="0"/>
              <w:widowControl/>
              <w:suppressLineNumbers w:val="0"/>
              <w:kinsoku/>
              <w:wordWrap/>
              <w:topLinePunct w:val="0"/>
              <w:bidi w:val="0"/>
              <w:spacing w:line="240" w:lineRule="auto"/>
              <w:jc w:val="left"/>
              <w:rPr>
                <w:rFonts w:hint="eastAsia" w:ascii="宋体" w:hAnsi="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顾客满意、质量优先、服务一流、持续改进</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topLinePunct w:val="0"/>
              <w:bidi w:val="0"/>
              <w:spacing w:line="240" w:lineRule="auto"/>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营造绿色环境，遵守法律法规，提高环境意识；</w:t>
            </w:r>
          </w:p>
          <w:p>
            <w:pPr>
              <w:keepNext w:val="0"/>
              <w:keepLines w:val="0"/>
              <w:pageBreakBefore w:val="0"/>
              <w:widowControl/>
              <w:suppressLineNumbers w:val="0"/>
              <w:kinsoku/>
              <w:wordWrap/>
              <w:topLinePunct w:val="0"/>
              <w:bidi w:val="0"/>
              <w:spacing w:line="240" w:lineRule="auto"/>
              <w:jc w:val="left"/>
              <w:rPr>
                <w:color w:val="auto"/>
                <w:sz w:val="21"/>
                <w:szCs w:val="21"/>
              </w:rPr>
            </w:pPr>
            <w:r>
              <w:rPr>
                <w:rFonts w:hint="eastAsia" w:ascii="宋体" w:hAnsi="宋体" w:eastAsia="宋体" w:cs="宋体"/>
                <w:color w:val="auto"/>
                <w:kern w:val="0"/>
                <w:sz w:val="21"/>
                <w:szCs w:val="21"/>
                <w:lang w:val="en-US" w:eastAsia="zh-CN" w:bidi="ar"/>
              </w:rPr>
              <w:t>推进控制保护，提高人员素质，持续改进管理。</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pPr>
              <w:rPr>
                <w:rFonts w:ascii="Times New Roman" w:hAnsi="Times New Roman" w:eastAsia="宋体" w:cs="Times New Roman"/>
                <w:kern w:val="2"/>
                <w:sz w:val="21"/>
                <w:szCs w:val="24"/>
                <w:lang w:val="en-US" w:eastAsia="zh-CN" w:bidi="ar-SA"/>
              </w:rPr>
            </w:pPr>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组织建立了参与和协商的机制，由所有相关层次和职能部门的员工和员工代表参与（包括协商）建立、策划、实施、评价和改进职业健康安全管理体系。</w:t>
            </w:r>
          </w:p>
          <w:p/>
          <w:p>
            <w:pPr>
              <w:rPr>
                <w:rFonts w:hint="eastAsia" w:ascii="Times New Roman" w:hAnsi="Times New Roman" w:eastAsia="宋体" w:cs="Times New Roman"/>
                <w:kern w:val="2"/>
                <w:sz w:val="21"/>
                <w:szCs w:val="24"/>
                <w:lang w:val="en-US" w:eastAsia="zh-CN" w:bidi="ar-SA"/>
              </w:rPr>
            </w:pPr>
            <w:r>
              <w:rPr>
                <w:rFonts w:hint="eastAsia"/>
              </w:rPr>
              <w:t>员工代表是——</w:t>
            </w:r>
            <w:r>
              <w:rPr>
                <w:rFonts w:hint="eastAsia"/>
                <w:lang w:val="en-US" w:eastAsia="zh-CN"/>
              </w:rPr>
              <w:t>刘会仙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vAlign w:val="top"/>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日常办公</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遵守法律法规，加强安全培训</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ascii="Times New Roman" w:hAnsi="Times New Roman" w:eastAsia="宋体" w:cs="Times New Roman"/>
                <w:kern w:val="2"/>
                <w:sz w:val="21"/>
                <w:szCs w:val="24"/>
                <w:highlight w:val="cyan"/>
                <w:lang w:val="en-US" w:eastAsia="zh-CN" w:bidi="ar-SA"/>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rPr>
              <w:sym w:font="Wingdings 2" w:char="0052"/>
            </w:r>
            <w:r>
              <w:rPr>
                <w:rFonts w:hint="eastAsia"/>
              </w:rPr>
              <w:t>漏电保护□穿戴劳保用品□作业票管理□挂牌上锁管理</w:t>
            </w:r>
          </w:p>
          <w:p>
            <w:pPr>
              <w:rPr>
                <w:rFonts w:ascii="Times New Roman" w:hAnsi="Times New Roman" w:eastAsia="宋体" w:cs="Times New Roman"/>
                <w:kern w:val="2"/>
                <w:sz w:val="21"/>
                <w:szCs w:val="24"/>
                <w:highlight w:val="cyan"/>
                <w:lang w:val="en-US" w:eastAsia="zh-CN" w:bidi="ar-SA"/>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cs="宋体" w:asciiTheme="minorEastAsia" w:hAnsiTheme="minorEastAsia" w:eastAsiaTheme="minorEastAsia"/>
                      <w:color w:val="auto"/>
                      <w:kern w:val="0"/>
                      <w:sz w:val="21"/>
                      <w:szCs w:val="21"/>
                    </w:rPr>
                    <w:t>杜绝火灾触电事故</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ascii="Times New Roman" w:hAnsi="Times New Roman" w:eastAsia="宋体" w:cs="Times New Roman"/>
                      <w:bCs/>
                      <w:spacing w:val="10"/>
                      <w:kern w:val="2"/>
                      <w:sz w:val="21"/>
                      <w:szCs w:val="21"/>
                      <w:highlight w:val="none"/>
                      <w:lang w:val="en-US" w:eastAsia="zh-CN" w:bidi="ar-SA"/>
                    </w:rPr>
                    <w:t>管理方案和预案措施</w:t>
                  </w:r>
                </w:p>
              </w:tc>
              <w:tc>
                <w:tcPr>
                  <w:tcW w:w="1350" w:type="dxa"/>
                  <w:shd w:val="clear" w:color="auto" w:fill="auto"/>
                  <w:vAlign w:val="center"/>
                </w:tcPr>
                <w:p>
                  <w:pPr>
                    <w:rPr>
                      <w:rFonts w:hint="eastAsia"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lang w:val="en-US" w:eastAsia="zh-CN"/>
              </w:rPr>
              <w:t>100</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个；实验室个；</w:t>
            </w:r>
          </w:p>
          <w:p>
            <w:pPr>
              <w:rPr>
                <w:u w:val="single"/>
              </w:rPr>
            </w:pPr>
            <w:r>
              <w:rPr>
                <w:rFonts w:hint="eastAsia"/>
              </w:rPr>
              <w:t>主要生产设备有：</w:t>
            </w:r>
            <w:r>
              <w:rPr>
                <w:rFonts w:hint="eastAsia"/>
                <w:lang w:val="en-US" w:eastAsia="zh-CN"/>
              </w:rPr>
              <w:t>电脑、电子秤</w:t>
            </w:r>
            <w:r>
              <w:rPr>
                <w:rFonts w:hint="eastAsia"/>
                <w:u w:val="single"/>
              </w:rPr>
              <w:t>（列举2~4种）</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rFonts w:ascii="Times New Roman" w:hAnsi="Times New Roman" w:eastAsia="宋体" w:cs="Times New Roman"/>
                <w:kern w:val="2"/>
                <w:sz w:val="21"/>
                <w:szCs w:val="24"/>
                <w:u w:val="single"/>
                <w:lang w:val="en-US" w:eastAsia="zh-CN" w:bidi="ar-SA"/>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ascii="Times New Roman" w:hAnsi="Times New Roman" w:eastAsia="宋体" w:cs="Times New Roman"/>
                <w:kern w:val="2"/>
                <w:sz w:val="21"/>
                <w:szCs w:val="24"/>
                <w:lang w:val="en-US" w:eastAsia="zh-CN" w:bidi="ar-SA"/>
              </w:rPr>
            </w:pPr>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pPr>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应急预案</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rPr>
                <w:rFonts w:ascii="Times New Roman" w:hAnsi="Times New Roman" w:eastAsia="宋体" w:cs="Times New Roman"/>
                <w:kern w:val="2"/>
                <w:sz w:val="21"/>
                <w:szCs w:val="24"/>
                <w:lang w:val="en-US" w:eastAsia="zh-CN" w:bidi="ar-SA"/>
              </w:rPr>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rPr>
                <w:rFonts w:ascii="Times New Roman" w:hAnsi="Times New Roman" w:eastAsia="宋体" w:cs="Times New Roman"/>
                <w:kern w:val="2"/>
                <w:sz w:val="21"/>
                <w:szCs w:val="24"/>
                <w:lang w:val="en-US" w:eastAsia="zh-CN" w:bidi="ar-SA"/>
              </w:rPr>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rPr>
                <w:rFonts w:ascii="Times New Roman" w:hAnsi="Times New Roman" w:eastAsia="宋体" w:cs="Times New Roman"/>
                <w:kern w:val="2"/>
                <w:sz w:val="21"/>
                <w:szCs w:val="24"/>
                <w:lang w:val="en-US" w:eastAsia="zh-CN" w:bidi="ar-SA"/>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组织应在生产和服务提供期间对危化品的采购、运输、使用、储存的危险源进行控制，以确保符合MSDS和法规要求。</w:t>
            </w:r>
          </w:p>
          <w:p>
            <w:pPr>
              <w:jc w:val="left"/>
              <w:rPr>
                <w:rFonts w:ascii="Times New Roman" w:hAnsi="Times New Roman" w:eastAsia="宋体" w:cs="Times New Roman"/>
                <w:kern w:val="2"/>
                <w:sz w:val="21"/>
                <w:szCs w:val="24"/>
                <w:lang w:val="en-US" w:eastAsia="zh-CN" w:bidi="ar-SA"/>
              </w:rPr>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2022年3月30日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pPr>
              <w:rPr>
                <w:rFonts w:ascii="Times New Roman" w:hAnsi="Times New Roman" w:eastAsia="宋体" w:cs="Times New Roman"/>
                <w:kern w:val="2"/>
                <w:sz w:val="21"/>
                <w:szCs w:val="24"/>
                <w:lang w:val="en-US" w:eastAsia="zh-CN" w:bidi="ar-SA"/>
              </w:rPr>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Wingdings" w:hAnsi="Wingdings"/>
                <w:lang w:eastAsia="zh-CN"/>
              </w:rPr>
              <w:sym w:font="Wingdings 2" w:char="0052"/>
            </w:r>
            <w:r>
              <w:rPr>
                <w:rFonts w:hint="eastAsia"/>
              </w:rPr>
              <w:t>定期（每年）：</w:t>
            </w:r>
            <w:r>
              <w:rPr>
                <w:rFonts w:hint="eastAsia"/>
                <w:lang w:val="en-US" w:eastAsia="zh-CN"/>
              </w:rPr>
              <w:t>2022年5月12日</w:t>
            </w:r>
          </w:p>
          <w:p>
            <w:r>
              <w:rPr>
                <w:rFonts w:hint="eastAsia" w:ascii="Wingdings" w:hAnsi="Wingdings"/>
                <w:lang w:eastAsia="zh-CN"/>
              </w:rPr>
              <w:t>□</w:t>
            </w:r>
            <w:r>
              <w:rPr>
                <w:rFonts w:hint="eastAsia"/>
              </w:rPr>
              <w:t>特殊情况（法规变化）：年月日</w:t>
            </w:r>
          </w:p>
          <w:p>
            <w:pPr>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pPr>
              <w:rPr>
                <w:rFonts w:ascii="Times New Roman" w:hAnsi="Times New Roman" w:eastAsia="宋体" w:cs="Times New Roman"/>
                <w:kern w:val="2"/>
                <w:sz w:val="21"/>
                <w:szCs w:val="24"/>
                <w:lang w:val="en-US" w:eastAsia="zh-CN" w:bidi="ar-SA"/>
              </w:rPr>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2022年5月16日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pPr>
              <w:rPr>
                <w:rFonts w:ascii="Times New Roman" w:hAnsi="Times New Roman" w:eastAsia="宋体" w:cs="Times New Roman"/>
                <w:kern w:val="2"/>
                <w:sz w:val="21"/>
                <w:szCs w:val="24"/>
                <w:lang w:val="en-US" w:eastAsia="zh-CN" w:bidi="ar-SA"/>
              </w:rPr>
            </w:pPr>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最高管理者已按策划的时间间隔，在</w:t>
            </w:r>
            <w:r>
              <w:rPr>
                <w:rFonts w:hint="eastAsia"/>
                <w:lang w:val="en-US" w:eastAsia="zh-CN"/>
              </w:rPr>
              <w:t>2022年5月26日</w:t>
            </w:r>
            <w:r>
              <w:rPr>
                <w:rFonts w:hint="eastAsia"/>
              </w:rPr>
              <w:t>对组织的职业健康安全管理体系进行了评审，以确保其持续的适宜性、充分性和有效性；管理评审输入、输出均按要求提供。并对提出的改进措施进行了落实。</w:t>
            </w:r>
          </w:p>
          <w:p/>
          <w:p>
            <w:pPr>
              <w:rPr>
                <w:rFonts w:ascii="Times New Roman" w:hAnsi="Times New Roman" w:eastAsia="宋体" w:cs="Times New Roman"/>
                <w:kern w:val="2"/>
                <w:sz w:val="21"/>
                <w:szCs w:val="24"/>
                <w:lang w:val="en-US" w:eastAsia="zh-CN" w:bidi="ar-SA"/>
              </w:rPr>
            </w:pPr>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pPr>
              <w:rPr>
                <w:rFonts w:ascii="Times New Roman" w:hAnsi="Times New Roman" w:eastAsia="宋体" w:cs="Times New Roman"/>
                <w:kern w:val="2"/>
                <w:sz w:val="21"/>
                <w:szCs w:val="24"/>
                <w:lang w:val="en-US" w:eastAsia="zh-CN" w:bidi="ar-SA"/>
              </w:rPr>
            </w:pPr>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7.4</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7.5</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8.2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9.2</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eastAsia="宋体" w:cs="Times New Roman"/>
                <w:kern w:val="2"/>
                <w:sz w:val="21"/>
                <w:szCs w:val="24"/>
                <w:lang w:val="en-US" w:eastAsia="zh-CN" w:bidi="ar-SA"/>
              </w:rPr>
              <w:t>1</w:t>
            </w:r>
            <w:bookmarkStart w:id="34" w:name="_GoBack"/>
            <w:bookmarkEnd w:id="34"/>
          </w:p>
        </w:tc>
        <w:tc>
          <w:tcPr>
            <w:tcW w:w="769"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p>
        </w:tc>
        <w:tc>
          <w:tcPr>
            <w:tcW w:w="769" w:type="dxa"/>
            <w:tcBorders>
              <w:bottom w:val="single" w:color="auto" w:sz="4" w:space="0"/>
            </w:tcBorders>
            <w:shd w:val="clear" w:color="auto" w:fill="F2DCDC" w:themeFill="accent2" w:themeFillTint="32"/>
            <w:vAlign w:val="center"/>
          </w:tcPr>
          <w:p>
            <w:pPr>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tcBorders>
              <w:bottom w:val="single" w:color="auto" w:sz="4" w:space="0"/>
            </w:tcBorders>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10.2</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rPr>
              <w:t>10.3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rPr>
                <w:rFonts w:hint="eastAsia"/>
                <w:highlight w:val="none"/>
                <w:lang w:val="en-US" w:eastAsia="zh-CN"/>
              </w:rP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UyMDZhNzQwNjM5MDdiNDI2ODlmYjBkNjBlYTY2ZTEifQ=="/>
  </w:docVars>
  <w:rsids>
    <w:rsidRoot w:val="00000000"/>
    <w:rsid w:val="3C42564C"/>
    <w:rsid w:val="46B10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5">
    <w:name w:val="Table Paragraph"/>
    <w:basedOn w:val="1"/>
    <w:qFormat/>
    <w:uiPriority w:val="99"/>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18674</Words>
  <Characters>19696</Characters>
  <Lines>150</Lines>
  <Paragraphs>42</Paragraphs>
  <TotalTime>0</TotalTime>
  <ScaleCrop>false</ScaleCrop>
  <LinksUpToDate>false</LinksUpToDate>
  <CharactersWithSpaces>19817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2022-08-01T11:49:54Z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2052-11.1.0.11875</vt:lpwstr>
  </property>
</Properties>
</file>