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雄县雄州镇实美超市</w:t>
            </w:r>
            <w:bookmarkEnd w:id="0"/>
            <w:r>
              <w:rPr>
                <w:rFonts w:hint="eastAsia"/>
                <w:color w:val="000000"/>
                <w:sz w:val="24"/>
                <w:szCs w:val="24"/>
              </w:rPr>
              <w:t xml:space="preserve">                 陪同人员：</w:t>
            </w:r>
            <w:r>
              <w:rPr>
                <w:rFonts w:hint="eastAsia"/>
                <w:color w:val="000000"/>
                <w:sz w:val="24"/>
                <w:szCs w:val="24"/>
                <w:lang w:val="en-US" w:eastAsia="zh-CN"/>
              </w:rPr>
              <w:t>王丹</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强兴</w:t>
            </w:r>
            <w:bookmarkEnd w:id="1"/>
            <w:r>
              <w:rPr>
                <w:rFonts w:hint="eastAsia"/>
                <w:color w:val="000000"/>
                <w:sz w:val="24"/>
                <w:szCs w:val="24"/>
              </w:rPr>
              <w:t xml:space="preserve">  </w:t>
            </w:r>
            <w:r>
              <w:rPr>
                <w:rFonts w:hint="eastAsia"/>
                <w:color w:val="000000"/>
                <w:sz w:val="24"/>
                <w:szCs w:val="24"/>
                <w:lang w:val="en-US" w:eastAsia="zh-CN"/>
              </w:rPr>
              <w:t xml:space="preserve"> 余家龙</w:t>
            </w:r>
            <w:r>
              <w:rPr>
                <w:rFonts w:hint="eastAsia"/>
                <w:color w:val="000000"/>
                <w:sz w:val="24"/>
                <w:szCs w:val="24"/>
              </w:rPr>
              <w:t xml:space="preserve">           审核时间：</w:t>
            </w:r>
            <w:bookmarkStart w:id="2" w:name="审核日期"/>
            <w:r>
              <w:rPr>
                <w:color w:val="000000"/>
              </w:rPr>
              <w:t>2022年07月11日 上午至2022年07月11日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92130638MA084B305B</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2017年1月5日起</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：预包装食品 散装食品</w:t>
            </w:r>
            <w:r>
              <w:rPr>
                <w:rFonts w:hint="eastAsia"/>
                <w:color w:val="000000"/>
                <w:szCs w:val="21"/>
                <w:lang w:val="en-US" w:eastAsia="zh-CN"/>
              </w:rPr>
              <w:t xml:space="preserve">  </w:t>
            </w:r>
            <w:r>
              <w:rPr>
                <w:rFonts w:hint="eastAsia"/>
                <w:color w:val="000000"/>
                <w:szCs w:val="21"/>
              </w:rPr>
              <w:t>乳制品(不含婴幼儿配方乳粉)</w:t>
            </w:r>
            <w:r>
              <w:rPr>
                <w:rFonts w:hint="eastAsia"/>
                <w:color w:val="000000"/>
                <w:szCs w:val="21"/>
                <w:lang w:val="en-US" w:eastAsia="zh-CN"/>
              </w:rPr>
              <w:t xml:space="preserve">  </w:t>
            </w:r>
            <w:r>
              <w:rPr>
                <w:rFonts w:hint="eastAsia"/>
                <w:color w:val="000000"/>
                <w:szCs w:val="21"/>
              </w:rPr>
              <w:t>蔬菜</w:t>
            </w:r>
            <w:r>
              <w:rPr>
                <w:rFonts w:hint="eastAsia"/>
                <w:color w:val="000000"/>
                <w:szCs w:val="21"/>
                <w:lang w:val="en-US" w:eastAsia="zh-CN"/>
              </w:rPr>
              <w:t xml:space="preserve">  </w:t>
            </w:r>
            <w:r>
              <w:rPr>
                <w:rFonts w:hint="eastAsia"/>
                <w:color w:val="000000"/>
                <w:szCs w:val="21"/>
              </w:rPr>
              <w:t>水果</w:t>
            </w:r>
            <w:r>
              <w:rPr>
                <w:rFonts w:hint="eastAsia"/>
                <w:color w:val="000000"/>
                <w:szCs w:val="21"/>
                <w:lang w:val="en-US" w:eastAsia="zh-CN"/>
              </w:rPr>
              <w:t xml:space="preserve"> </w:t>
            </w:r>
            <w:r>
              <w:rPr>
                <w:rFonts w:hint="eastAsia"/>
                <w:color w:val="000000"/>
                <w:szCs w:val="21"/>
              </w:rPr>
              <w:t>生肉 水产 调料 杂粮 日用杂货 办公用品 文体用品</w:t>
            </w:r>
            <w:r>
              <w:rPr>
                <w:rFonts w:hint="eastAsia"/>
                <w:color w:val="000000"/>
                <w:szCs w:val="21"/>
                <w:lang w:val="en-US" w:eastAsia="zh-CN"/>
              </w:rPr>
              <w:t xml:space="preserve"> </w:t>
            </w:r>
            <w:r>
              <w:rPr>
                <w:rFonts w:hint="eastAsia"/>
                <w:color w:val="000000"/>
                <w:szCs w:val="21"/>
              </w:rPr>
              <w:t>卷烟 雪茄烟(凭烟草专卖零售许可证)</w:t>
            </w:r>
            <w:r>
              <w:rPr>
                <w:rFonts w:hint="eastAsia"/>
                <w:color w:val="000000"/>
                <w:szCs w:val="21"/>
                <w:lang w:val="en-US" w:eastAsia="zh-CN"/>
              </w:rPr>
              <w:t xml:space="preserve">  </w:t>
            </w:r>
            <w:r>
              <w:rPr>
                <w:rFonts w:hint="eastAsia"/>
                <w:color w:val="000000"/>
                <w:szCs w:val="21"/>
              </w:rPr>
              <w:t>零售(依法须经批准的项目，经相关部门批准后方可开展经营活动)；</w:t>
            </w:r>
          </w:p>
          <w:p>
            <w:pPr>
              <w:spacing w:line="440" w:lineRule="exact"/>
              <w:ind w:firstLine="420" w:firstLineChars="200"/>
              <w:rPr>
                <w:rFonts w:hint="eastAsia"/>
                <w:color w:val="000000"/>
              </w:rPr>
            </w:pPr>
            <w:r>
              <w:rPr>
                <w:rFonts w:hint="eastAsia"/>
                <w:color w:val="000000"/>
              </w:rPr>
              <w:t>认证申请范围：</w:t>
            </w:r>
            <w:bookmarkStart w:id="3" w:name="审核范围"/>
            <w:r>
              <w:rPr>
                <w:rFonts w:hint="eastAsia"/>
                <w:color w:val="000000"/>
              </w:rPr>
              <w:t>Q：预包装食品、散装食品、乳制品（不含婴幼儿配方乳粉）、蔬菜、水果、水产、生肉、调料、杂粮、卷烟的零售</w:t>
            </w:r>
          </w:p>
          <w:p>
            <w:pPr>
              <w:spacing w:line="440" w:lineRule="exact"/>
              <w:ind w:firstLine="420" w:firstLineChars="200"/>
              <w:rPr>
                <w:rFonts w:hint="eastAsia"/>
                <w:color w:val="000000"/>
              </w:rPr>
            </w:pPr>
            <w:r>
              <w:rPr>
                <w:rFonts w:hint="eastAsia"/>
                <w:color w:val="000000"/>
              </w:rPr>
              <w:t>E：预包装食品、散装食品、乳制品、蔬菜、水果、水产、生肉、调料、杂粮、卷烟的零售所涉及场所的相关环境管理活动</w:t>
            </w:r>
          </w:p>
          <w:p>
            <w:pPr>
              <w:spacing w:line="440" w:lineRule="exact"/>
              <w:ind w:firstLine="420" w:firstLineChars="200"/>
              <w:rPr>
                <w:color w:val="000000"/>
                <w:szCs w:val="21"/>
              </w:rPr>
            </w:pPr>
            <w:r>
              <w:rPr>
                <w:rFonts w:hint="eastAsia"/>
                <w:color w:val="000000"/>
              </w:rPr>
              <w:t>O：预包装食品、散装食品、乳制品、蔬菜、水果、水产、生肉、调料、杂粮、卷烟的零售所涉及场所的相关职业健康安全管理活动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JY11306380011633</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2026年10月24日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预包装食品销售（含冷藏冷冻食品），散装食品销售（含冷藏冷冻食品）</w:t>
            </w:r>
          </w:p>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烟草专卖零售</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130638103108</w:t>
            </w:r>
            <w:r>
              <w:rPr>
                <w:rFonts w:hint="eastAsia"/>
                <w:color w:val="000000"/>
                <w:szCs w:val="21"/>
              </w:rPr>
              <w:t>； 有效期：</w:t>
            </w:r>
            <w:r>
              <w:rPr>
                <w:rFonts w:hint="eastAsia"/>
                <w:color w:val="000000"/>
                <w:szCs w:val="21"/>
                <w:lang w:val="en-US" w:eastAsia="zh-CN"/>
              </w:rPr>
              <w:t>2025年5月13日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卷烟本店零售、雪茄烟本店零售</w:t>
            </w:r>
          </w:p>
          <w:p>
            <w:pPr>
              <w:spacing w:line="440" w:lineRule="exact"/>
              <w:rPr>
                <w:rFonts w:hint="default"/>
                <w:color w:val="000000"/>
                <w:szCs w:val="21"/>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雄县雄州路385号</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sz w:val="21"/>
                <w:szCs w:val="21"/>
              </w:rPr>
              <w:t>雄县雄州路385号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lang w:val="en-US" w:eastAsia="zh-CN"/>
              </w:rPr>
              <w:t>生产/服务流程图：</w:t>
            </w:r>
            <w:r>
              <w:rPr>
                <w:rFonts w:hint="eastAsia"/>
                <w:sz w:val="28"/>
                <w:szCs w:val="28"/>
                <w:lang w:val="en-US" w:eastAsia="zh-CN"/>
              </w:rPr>
              <w:t>商品采购---采购验收---商品入库---商品陈列---零售---售后服务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6</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3</w:t>
            </w:r>
            <w:r>
              <w:rPr>
                <w:rFonts w:hint="eastAsia"/>
                <w:color w:val="000000"/>
                <w:szCs w:val="21"/>
              </w:rPr>
              <w:t>人</w:t>
            </w:r>
            <w:r>
              <w:rPr>
                <w:rFonts w:hint="eastAsia"/>
                <w:color w:val="000000"/>
                <w:szCs w:val="18"/>
              </w:rPr>
              <w:t>；操作人员</w:t>
            </w:r>
            <w:r>
              <w:rPr>
                <w:rFonts w:hint="eastAsia"/>
                <w:color w:val="000000"/>
                <w:szCs w:val="18"/>
                <w:lang w:val="en-US" w:eastAsia="zh-CN"/>
              </w:rPr>
              <w:t>3</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lang w:val="en-US" w:eastAsia="zh-CN"/>
              </w:rPr>
            </w:pPr>
            <w:r>
              <w:rPr>
                <w:rFonts w:hint="eastAsia"/>
                <w:color w:val="000000"/>
                <w:szCs w:val="18"/>
              </w:rPr>
              <w:t>管理手册发布的时间：</w:t>
            </w:r>
            <w:r>
              <w:rPr>
                <w:rFonts w:hint="eastAsia"/>
                <w:color w:val="000000"/>
                <w:szCs w:val="18"/>
                <w:lang w:val="en-US" w:eastAsia="zh-CN"/>
              </w:rPr>
              <w:t>2022年1月5日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lang w:val="en-US" w:eastAsia="zh-CN"/>
              </w:rPr>
            </w:pPr>
            <w:r>
              <w:rPr>
                <w:rFonts w:hint="eastAsia"/>
                <w:color w:val="000000"/>
                <w:szCs w:val="18"/>
              </w:rPr>
              <w:t>标准宣贯的时间：</w:t>
            </w:r>
            <w:r>
              <w:rPr>
                <w:rFonts w:hint="eastAsia"/>
                <w:color w:val="000000"/>
                <w:szCs w:val="18"/>
                <w:lang w:val="en-US" w:eastAsia="zh-CN"/>
              </w:rPr>
              <w:t>2022年1月5日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eastAsia" w:ascii="Times New Roman" w:hAnsi="Times New Roman" w:eastAsia="宋体" w:cs="Times New Roman"/>
                      <w:bCs/>
                      <w:kern w:val="2"/>
                      <w:sz w:val="24"/>
                      <w:lang w:val="en-US" w:eastAsia="zh-CN" w:bidi="ar-SA"/>
                    </w:rPr>
                  </w:pPr>
                  <w:r>
                    <w:rPr>
                      <w:rFonts w:hint="eastAsia" w:hAnsi="宋体" w:cs="宋体"/>
                      <w:bCs/>
                      <w:sz w:val="24"/>
                    </w:rPr>
                    <w:t>产品交付顾客验收合格率100%</w:t>
                  </w:r>
                  <w:r>
                    <w:rPr>
                      <w:rFonts w:hint="eastAsia" w:ascii="宋体"/>
                      <w:sz w:val="24"/>
                    </w:rPr>
                    <w:t>；</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季度</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ascii="宋体" w:hAnsi="宋体"/>
                      <w:sz w:val="24"/>
                    </w:rPr>
                    <w:t>合格批次/交付批次</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rPr>
                      <w:rFonts w:hint="eastAsia" w:ascii="Times New Roman" w:hAnsi="Times New Roman" w:eastAsia="宋体" w:cs="Times New Roman"/>
                      <w:bCs/>
                      <w:kern w:val="2"/>
                      <w:sz w:val="24"/>
                      <w:lang w:val="en-US" w:eastAsia="zh-CN" w:bidi="ar-SA"/>
                    </w:rPr>
                  </w:pPr>
                  <w:r>
                    <w:rPr>
                      <w:rFonts w:hint="eastAsia"/>
                      <w:bCs/>
                      <w:sz w:val="24"/>
                    </w:rPr>
                    <w:t>顾客满意度≥90%；</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季度</w:t>
                  </w:r>
                </w:p>
              </w:tc>
              <w:tc>
                <w:tcPr>
                  <w:tcW w:w="3499" w:type="dxa"/>
                  <w:vAlign w:val="center"/>
                </w:tcPr>
                <w:p>
                  <w:pPr>
                    <w:rPr>
                      <w:rFonts w:hint="eastAsia" w:ascii="Times New Roman" w:hAnsi="Times New Roman" w:eastAsia="宋体" w:cs="Times New Roman"/>
                      <w:bCs/>
                      <w:kern w:val="2"/>
                      <w:sz w:val="24"/>
                      <w:lang w:val="en-US" w:eastAsia="zh-CN" w:bidi="ar-SA"/>
                    </w:rPr>
                  </w:pP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rPr>
                      <w:rFonts w:hint="default" w:ascii="Times New Roman" w:hAnsi="Times New Roman" w:eastAsia="宋体" w:cs="Times New Roman"/>
                      <w:bCs/>
                      <w:kern w:val="2"/>
                      <w:sz w:val="24"/>
                      <w:lang w:val="en-US" w:eastAsia="zh-CN" w:bidi="ar-SA"/>
                    </w:rPr>
                  </w:pPr>
                  <w:r>
                    <w:rPr>
                      <w:rFonts w:hint="eastAsia"/>
                      <w:bCs/>
                      <w:sz w:val="24"/>
                      <w:lang w:val="en-US" w:eastAsia="zh-CN"/>
                    </w:rPr>
                    <w:t>销售服务质量考核合格率≥95%</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季度</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rPr>
                      <w:rFonts w:hint="eastAsia" w:ascii="Times New Roman" w:hAnsi="Times New Roman" w:eastAsia="宋体" w:cs="Times New Roman"/>
                      <w:bCs/>
                      <w:kern w:val="2"/>
                      <w:sz w:val="24"/>
                      <w:lang w:val="en-US" w:eastAsia="zh-CN" w:bidi="ar-SA"/>
                    </w:rPr>
                  </w:pPr>
                  <w:r>
                    <w:rPr>
                      <w:rFonts w:hint="eastAsia"/>
                      <w:bCs/>
                      <w:sz w:val="24"/>
                    </w:rPr>
                    <w:t>固体废弃物分类处理率达100%</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季度</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bCs/>
                      <w:sz w:val="24"/>
                    </w:rPr>
                    <w:t>固废能及时进行分类，处理率达到100%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60" w:lineRule="auto"/>
                    <w:rPr>
                      <w:rFonts w:hint="eastAsia" w:ascii="Times New Roman" w:hAnsi="Times New Roman" w:eastAsia="宋体" w:cs="Times New Roman"/>
                      <w:bCs/>
                      <w:kern w:val="2"/>
                      <w:sz w:val="24"/>
                      <w:lang w:val="en-US" w:eastAsia="zh-CN" w:bidi="ar-SA"/>
                    </w:rPr>
                  </w:pPr>
                  <w:r>
                    <w:rPr>
                      <w:bCs/>
                      <w:sz w:val="24"/>
                    </w:rPr>
                    <w:t>杜绝</w:t>
                  </w:r>
                  <w:r>
                    <w:rPr>
                      <w:rFonts w:hint="eastAsia"/>
                      <w:bCs/>
                      <w:sz w:val="24"/>
                      <w:lang w:val="en-US" w:eastAsia="zh-CN"/>
                    </w:rPr>
                    <w:t>火灾触电</w:t>
                  </w:r>
                  <w:r>
                    <w:rPr>
                      <w:bCs/>
                      <w:sz w:val="24"/>
                    </w:rPr>
                    <w:t>事故</w:t>
                  </w:r>
                  <w:r>
                    <w:rPr>
                      <w:rFonts w:hint="eastAsia"/>
                      <w:bCs/>
                      <w:sz w:val="24"/>
                    </w:rPr>
                    <w:t>；</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季度</w:t>
                  </w:r>
                </w:p>
              </w:tc>
              <w:tc>
                <w:tcPr>
                  <w:tcW w:w="3499" w:type="dxa"/>
                  <w:vAlign w:val="center"/>
                </w:tcPr>
                <w:p>
                  <w:pPr>
                    <w:rPr>
                      <w:rFonts w:hint="eastAsia" w:ascii="Times New Roman" w:hAnsi="Times New Roman" w:eastAsia="宋体" w:cs="Times New Roman"/>
                      <w:bCs/>
                      <w:kern w:val="2"/>
                      <w:sz w:val="24"/>
                      <w:lang w:val="en-US" w:eastAsia="zh-CN" w:bidi="ar-SA"/>
                    </w:rPr>
                  </w:pPr>
                  <w:r>
                    <w:rPr>
                      <w:rFonts w:hint="eastAsia"/>
                      <w:bCs/>
                      <w:sz w:val="24"/>
                    </w:rPr>
                    <w:t>重大安全事故和伤亡事故发生次数</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4</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74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2022年5月11日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2022年5月19日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cs="宋体"/>
                <w:bCs/>
                <w:sz w:val="21"/>
                <w:szCs w:val="21"/>
              </w:rPr>
              <w:t>公司目前所销售产品市场稳定，无设计开发责任。不适用8.3条款不影响公司确保其产品和服务合格以及增强顾客满意的能力或责任。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auto"/>
                <w:sz w:val="24"/>
                <w:lang w:val="en-US" w:eastAsia="zh-CN"/>
              </w:rPr>
              <w:t>零售服务过程</w:t>
            </w:r>
            <w:r>
              <w:rPr>
                <w:rFonts w:hint="eastAsia"/>
                <w:color w:val="000000"/>
                <w:u w:val="single"/>
              </w:rPr>
              <w:t>；</w:t>
            </w:r>
            <w:r>
              <w:rPr>
                <w:rFonts w:hint="eastAsia"/>
                <w:color w:val="000000"/>
              </w:rPr>
              <w:t>相关控制参数名称：</w:t>
            </w:r>
            <w:r>
              <w:rPr>
                <w:rFonts w:hint="eastAsia"/>
                <w:color w:val="auto"/>
                <w:sz w:val="24"/>
                <w:lang w:val="en-US" w:eastAsia="zh-CN"/>
              </w:rPr>
              <w:t>服务质量，顾客满意度</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auto"/>
                <w:sz w:val="24"/>
                <w:lang w:val="en-US" w:eastAsia="zh-CN"/>
              </w:rPr>
              <w:t>零售服务过程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sym w:font="Wingdings 2" w:char="00A3"/>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val="en-US" w:eastAsia="zh-CN"/>
              </w:rPr>
              <w:t>电脑、打印机、运输车辆</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val="en-US" w:eastAsia="zh-CN"/>
              </w:rPr>
              <w:t>电子台秤</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2022年3月14日</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2022年3月14日</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bookmarkStart w:id="5" w:name="_GoBack"/>
            <w:bookmarkEnd w:id="5"/>
            <w:r>
              <w:rPr>
                <w:rFonts w:hint="eastAsia"/>
                <w:color w:val="000000"/>
                <w:szCs w:val="21"/>
              </w:rPr>
              <w:sym w:font="Wingdings 2" w:char="00A3"/>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202327C7"/>
    <w:rsid w:val="23BC0418"/>
    <w:rsid w:val="33BA2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6816</Words>
  <Characters>7074</Characters>
  <Lines>92</Lines>
  <Paragraphs>26</Paragraphs>
  <TotalTime>53</TotalTime>
  <ScaleCrop>false</ScaleCrop>
  <LinksUpToDate>false</LinksUpToDate>
  <CharactersWithSpaces>8376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2022-07-12T02:59:17Z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