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0522-2022-E</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重庆真博塑胶制品有限公司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重庆真博塑胶制品有限公司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重庆市沙坪坝区曾家镇五里冲村十三社</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重庆市江津区珞璜工业园B区重庆西部诚通物流有限公司12库房2层</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曾小玲</w:t>
            </w:r>
            <w:bookmarkEnd w:id="10"/>
          </w:p>
        </w:tc>
        <w:tc>
          <w:tcPr>
            <w:tcW w:w="1313" w:type="dxa"/>
            <w:vAlign w:val="center"/>
          </w:tcPr>
          <w:p>
            <w:r>
              <w:rPr>
                <w:rFonts w:hint="eastAsia"/>
              </w:rPr>
              <w:t>电话.</w:t>
            </w:r>
          </w:p>
        </w:tc>
        <w:tc>
          <w:tcPr>
            <w:tcW w:w="2180" w:type="dxa"/>
            <w:vAlign w:val="center"/>
          </w:tcPr>
          <w:p>
            <w:bookmarkStart w:id="11" w:name="联系人电话"/>
            <w:r>
              <w:t>18908337925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龙继承</w:t>
            </w:r>
            <w:bookmarkEnd w:id="13"/>
          </w:p>
        </w:tc>
        <w:tc>
          <w:tcPr>
            <w:tcW w:w="1313" w:type="dxa"/>
            <w:vAlign w:val="center"/>
          </w:tcPr>
          <w:p>
            <w:r>
              <w:rPr>
                <w:rFonts w:hint="eastAsia"/>
              </w:rPr>
              <w:t>管理者代表</w:t>
            </w:r>
          </w:p>
        </w:tc>
        <w:tc>
          <w:tcPr>
            <w:tcW w:w="2180" w:type="dxa"/>
          </w:tcPr>
          <w:p>
            <w:bookmarkStart w:id="14" w:name="管理者代表"/>
            <w:r>
              <w:t>曾小玲</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69" w:type="dxa"/>
            <w:shd w:val="clear" w:color="auto" w:fill="auto"/>
          </w:tcPr>
          <w:p>
            <w:pPr>
              <w:rPr>
                <w:rFonts w:hint="eastAsia"/>
              </w:rPr>
            </w:pPr>
            <w:r>
              <w:rPr>
                <w:rFonts w:hint="eastAsia"/>
              </w:rPr>
              <w:t>生产/服务提供流程简图</w:t>
            </w:r>
          </w:p>
          <w:p>
            <w:pPr>
              <w:rPr>
                <w:rFonts w:hint="eastAsia"/>
              </w:rPr>
            </w:pPr>
          </w:p>
        </w:tc>
        <w:tc>
          <w:tcPr>
            <w:tcW w:w="8058" w:type="dxa"/>
            <w:gridSpan w:val="5"/>
            <w:shd w:val="clear" w:color="auto" w:fill="auto"/>
          </w:tcPr>
          <w:p>
            <w:pPr>
              <w:rPr>
                <w:rFonts w:hint="eastAsia"/>
              </w:rPr>
            </w:pPr>
            <w:r>
              <w:rPr>
                <w:rFonts w:hint="eastAsia"/>
              </w:rPr>
              <w:t>市场需求－－合同评审－－合同签订－－采购产品－销售产品－－顾客验收。</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2022年07月30日 上午至2022年07月30日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lang w:val="de-DE"/>
              </w:rPr>
              <w:t>■</w:t>
            </w:r>
            <w:r>
              <w:rPr>
                <w:rFonts w:hint="eastAsia"/>
              </w:rPr>
              <w:t>顾客要求</w:t>
            </w:r>
          </w:p>
          <w:p>
            <w:r>
              <w:rPr>
                <w:rFonts w:hint="eastAsia" w:ascii="宋体" w:hAnsi="宋体" w:eastAsia="宋体" w:cs="宋体"/>
                <w:lang w:val="de-DE"/>
              </w:rPr>
              <w:t>■</w:t>
            </w:r>
            <w:r>
              <w:rPr>
                <w:rFonts w:hint="eastAsia"/>
                <w:lang w:val="de-DE"/>
              </w:rPr>
              <w:t>适用于受审核方的法律法规及其他要求</w:t>
            </w:r>
            <w:r>
              <w:rPr>
                <w:rFonts w:hint="eastAsia" w:ascii="宋体" w:hAnsi="宋体" w:eastAsia="宋体" w:cs="宋体"/>
                <w:lang w:val="de-DE"/>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ascii="宋体" w:hAnsi="宋体" w:eastAsia="宋体" w:cs="宋体"/>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重庆市江津区珞璜工业园B区重庆西部诚通物流有限公司12库房2层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塑胶制品、纸制品、木制品、金属制品的销售所涉及场所的相关环境管理活动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highlight w:val="none"/>
              </w:rPr>
            </w:pPr>
            <w:r>
              <w:rPr>
                <w:rFonts w:hint="eastAsia"/>
                <w:highlight w:val="none"/>
              </w:rPr>
              <w:t>体系文件实施时间</w:t>
            </w:r>
          </w:p>
        </w:tc>
        <w:tc>
          <w:tcPr>
            <w:tcW w:w="2733" w:type="dxa"/>
          </w:tcPr>
          <w:p>
            <w:pPr>
              <w:rPr>
                <w:highlight w:val="none"/>
              </w:rPr>
            </w:pPr>
            <w:r>
              <w:rPr>
                <w:rFonts w:hint="eastAsia"/>
                <w:highlight w:val="none"/>
                <w:lang w:val="en-US" w:eastAsia="zh-CN"/>
              </w:rPr>
              <w:t>2022</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10</w:t>
            </w:r>
            <w:r>
              <w:rPr>
                <w:rFonts w:hint="eastAsia"/>
                <w:highlight w:val="none"/>
              </w:rPr>
              <w:t>日</w:t>
            </w:r>
          </w:p>
          <w:p>
            <w:pPr>
              <w:rPr>
                <w:highlight w:val="none"/>
              </w:rPr>
            </w:pPr>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36"/>
        <w:gridCol w:w="2280"/>
        <w:gridCol w:w="589"/>
        <w:gridCol w:w="2241"/>
        <w:gridCol w:w="123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36" w:type="dxa"/>
            <w:shd w:val="clear" w:color="auto" w:fill="F3F3F3"/>
            <w:tcMar>
              <w:left w:w="57" w:type="dxa"/>
              <w:right w:w="57" w:type="dxa"/>
            </w:tcMar>
          </w:tcPr>
          <w:p>
            <w:r>
              <w:rPr>
                <w:rFonts w:hint="eastAsia"/>
              </w:rPr>
              <w:t>组织名称及注册场所地址</w:t>
            </w:r>
          </w:p>
        </w:tc>
        <w:tc>
          <w:tcPr>
            <w:tcW w:w="2280" w:type="dxa"/>
            <w:shd w:val="clear" w:color="auto" w:fill="F3F3F3"/>
            <w:tcMar>
              <w:left w:w="57" w:type="dxa"/>
              <w:right w:w="57" w:type="dxa"/>
            </w:tcMar>
          </w:tcPr>
          <w:p>
            <w:r>
              <w:rPr>
                <w:rFonts w:hint="eastAsia"/>
              </w:rPr>
              <w:t>经营场所的地址</w:t>
            </w:r>
          </w:p>
          <w:p>
            <w:r>
              <w:rPr>
                <w:rFonts w:hint="eastAsia"/>
              </w:rPr>
              <w:t>（多现场和临时现场）</w:t>
            </w:r>
          </w:p>
        </w:tc>
        <w:tc>
          <w:tcPr>
            <w:tcW w:w="589" w:type="dxa"/>
            <w:shd w:val="clear" w:color="auto" w:fill="F3F3F3"/>
            <w:tcMar>
              <w:left w:w="57" w:type="dxa"/>
              <w:right w:w="57" w:type="dxa"/>
            </w:tcMar>
          </w:tcPr>
          <w:p>
            <w:r>
              <w:rPr>
                <w:rFonts w:hint="eastAsia"/>
              </w:rPr>
              <w:t>员工人数</w:t>
            </w:r>
          </w:p>
        </w:tc>
        <w:tc>
          <w:tcPr>
            <w:tcW w:w="2241" w:type="dxa"/>
            <w:shd w:val="clear" w:color="auto" w:fill="F3F3F3"/>
            <w:tcMar>
              <w:left w:w="57" w:type="dxa"/>
              <w:right w:w="57" w:type="dxa"/>
            </w:tcMar>
          </w:tcPr>
          <w:p>
            <w:r>
              <w:rPr>
                <w:rFonts w:hint="eastAsia"/>
              </w:rPr>
              <w:t>审核范围（产品和过程）</w:t>
            </w:r>
          </w:p>
          <w:p/>
          <w:p/>
        </w:tc>
        <w:tc>
          <w:tcPr>
            <w:tcW w:w="123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36" w:type="dxa"/>
          </w:tcPr>
          <w:p>
            <w:pPr>
              <w:rPr>
                <w:rFonts w:hint="eastAsia" w:eastAsia="宋体"/>
                <w:lang w:val="en-US" w:eastAsia="zh-CN"/>
              </w:rPr>
            </w:pPr>
            <w:r>
              <w:rPr>
                <w:sz w:val="21"/>
                <w:szCs w:val="21"/>
              </w:rPr>
              <w:t>重庆真博塑胶制品有限公司</w:t>
            </w:r>
            <w:r>
              <w:rPr>
                <w:rFonts w:hint="eastAsia"/>
                <w:sz w:val="21"/>
                <w:szCs w:val="21"/>
                <w:lang w:val="en-US" w:eastAsia="zh-CN"/>
              </w:rPr>
              <w:t>/</w:t>
            </w:r>
            <w:r>
              <w:rPr>
                <w:rFonts w:asciiTheme="minorEastAsia" w:hAnsiTheme="minorEastAsia" w:eastAsiaTheme="minorEastAsia"/>
                <w:sz w:val="20"/>
              </w:rPr>
              <w:t>重庆市沙坪坝区曾家镇五里冲村十三社</w:t>
            </w:r>
          </w:p>
        </w:tc>
        <w:tc>
          <w:tcPr>
            <w:tcW w:w="2280" w:type="dxa"/>
          </w:tcPr>
          <w:p>
            <w:pPr>
              <w:rPr>
                <w:lang w:val="de-DE" w:eastAsia="ja-JP"/>
              </w:rPr>
            </w:pPr>
            <w:r>
              <w:rPr>
                <w:rFonts w:asciiTheme="minorEastAsia" w:hAnsiTheme="minorEastAsia" w:eastAsiaTheme="minorEastAsia"/>
                <w:sz w:val="20"/>
              </w:rPr>
              <w:t>重庆市江津区珞璜工业园B区重庆西部诚通物流有限公司12库房2层</w:t>
            </w:r>
          </w:p>
        </w:tc>
        <w:tc>
          <w:tcPr>
            <w:tcW w:w="589" w:type="dxa"/>
            <w:vAlign w:val="center"/>
          </w:tcPr>
          <w:p>
            <w:pPr>
              <w:rPr>
                <w:rFonts w:hint="default" w:eastAsia="宋体"/>
                <w:lang w:val="en-US" w:eastAsia="zh-CN"/>
              </w:rPr>
            </w:pPr>
            <w:r>
              <w:rPr>
                <w:rFonts w:hint="eastAsia"/>
                <w:lang w:val="en-US" w:eastAsia="zh-CN"/>
              </w:rPr>
              <w:t>43</w:t>
            </w:r>
          </w:p>
        </w:tc>
        <w:tc>
          <w:tcPr>
            <w:tcW w:w="2241" w:type="dxa"/>
            <w:vAlign w:val="center"/>
          </w:tcPr>
          <w:p>
            <w:pPr>
              <w:rPr>
                <w:lang w:eastAsia="ja-JP"/>
              </w:rPr>
            </w:pPr>
            <w:r>
              <w:rPr>
                <w:sz w:val="20"/>
              </w:rPr>
              <w:t>塑胶制品、纸制品、木制品、金属制品的销售所涉及场所的相关环境管理活动</w:t>
            </w:r>
          </w:p>
        </w:tc>
        <w:tc>
          <w:tcPr>
            <w:tcW w:w="1231" w:type="dxa"/>
            <w:vAlign w:val="center"/>
          </w:tcPr>
          <w:p>
            <w:pPr>
              <w:rPr>
                <w:lang w:eastAsia="ja-JP"/>
              </w:rPr>
            </w:pPr>
            <w:r>
              <w:rPr>
                <w:rFonts w:hint="eastAsia"/>
                <w:sz w:val="20"/>
              </w:rPr>
              <w:t>GB/T24001-2016/ISO 14001:2015</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36" w:type="dxa"/>
            <w:vAlign w:val="center"/>
          </w:tcPr>
          <w:p>
            <w:pPr>
              <w:rPr>
                <w:lang w:eastAsia="ja-JP"/>
              </w:rPr>
            </w:pPr>
          </w:p>
        </w:tc>
        <w:tc>
          <w:tcPr>
            <w:tcW w:w="2280" w:type="dxa"/>
            <w:vAlign w:val="center"/>
          </w:tcPr>
          <w:p>
            <w:pPr>
              <w:rPr>
                <w:lang w:eastAsia="ja-JP"/>
              </w:rPr>
            </w:pPr>
          </w:p>
        </w:tc>
        <w:tc>
          <w:tcPr>
            <w:tcW w:w="589" w:type="dxa"/>
            <w:vAlign w:val="center"/>
          </w:tcPr>
          <w:p>
            <w:pPr>
              <w:rPr>
                <w:lang w:eastAsia="ja-JP"/>
              </w:rPr>
            </w:pPr>
          </w:p>
        </w:tc>
        <w:tc>
          <w:tcPr>
            <w:tcW w:w="2241" w:type="dxa"/>
            <w:vAlign w:val="center"/>
          </w:tcPr>
          <w:p>
            <w:pPr>
              <w:rPr>
                <w:lang w:eastAsia="ja-JP"/>
              </w:rPr>
            </w:pPr>
          </w:p>
        </w:tc>
        <w:tc>
          <w:tcPr>
            <w:tcW w:w="123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36" w:type="dxa"/>
            <w:vAlign w:val="center"/>
          </w:tcPr>
          <w:p>
            <w:pPr>
              <w:rPr>
                <w:lang w:eastAsia="ja-JP"/>
              </w:rPr>
            </w:pPr>
          </w:p>
        </w:tc>
        <w:tc>
          <w:tcPr>
            <w:tcW w:w="2280" w:type="dxa"/>
            <w:vAlign w:val="center"/>
          </w:tcPr>
          <w:p>
            <w:pPr>
              <w:rPr>
                <w:lang w:eastAsia="ja-JP"/>
              </w:rPr>
            </w:pPr>
          </w:p>
        </w:tc>
        <w:tc>
          <w:tcPr>
            <w:tcW w:w="589" w:type="dxa"/>
            <w:vAlign w:val="center"/>
          </w:tcPr>
          <w:p>
            <w:pPr>
              <w:rPr>
                <w:lang w:eastAsia="ja-JP"/>
              </w:rPr>
            </w:pPr>
          </w:p>
        </w:tc>
        <w:tc>
          <w:tcPr>
            <w:tcW w:w="2241" w:type="dxa"/>
            <w:vAlign w:val="center"/>
          </w:tcPr>
          <w:p>
            <w:pPr>
              <w:rPr>
                <w:lang w:eastAsia="ja-JP"/>
              </w:rPr>
            </w:pPr>
          </w:p>
        </w:tc>
        <w:tc>
          <w:tcPr>
            <w:tcW w:w="123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36" w:type="dxa"/>
            <w:vAlign w:val="center"/>
          </w:tcPr>
          <w:p>
            <w:pPr>
              <w:rPr>
                <w:lang w:eastAsia="ja-JP"/>
              </w:rPr>
            </w:pPr>
          </w:p>
        </w:tc>
        <w:tc>
          <w:tcPr>
            <w:tcW w:w="2280" w:type="dxa"/>
            <w:vAlign w:val="center"/>
          </w:tcPr>
          <w:p>
            <w:pPr>
              <w:rPr>
                <w:lang w:eastAsia="ja-JP"/>
              </w:rPr>
            </w:pPr>
          </w:p>
        </w:tc>
        <w:tc>
          <w:tcPr>
            <w:tcW w:w="589" w:type="dxa"/>
            <w:vAlign w:val="center"/>
          </w:tcPr>
          <w:p>
            <w:pPr>
              <w:rPr>
                <w:lang w:eastAsia="ja-JP"/>
              </w:rPr>
            </w:pPr>
          </w:p>
        </w:tc>
        <w:tc>
          <w:tcPr>
            <w:tcW w:w="2241" w:type="dxa"/>
            <w:vAlign w:val="center"/>
          </w:tcPr>
          <w:p>
            <w:pPr>
              <w:rPr>
                <w:lang w:eastAsia="ja-JP"/>
              </w:rPr>
            </w:pPr>
          </w:p>
        </w:tc>
        <w:tc>
          <w:tcPr>
            <w:tcW w:w="123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36" w:type="dxa"/>
            <w:vAlign w:val="center"/>
          </w:tcPr>
          <w:p>
            <w:pPr>
              <w:rPr>
                <w:lang w:eastAsia="ja-JP"/>
              </w:rPr>
            </w:pPr>
          </w:p>
        </w:tc>
        <w:tc>
          <w:tcPr>
            <w:tcW w:w="2280" w:type="dxa"/>
            <w:vAlign w:val="center"/>
          </w:tcPr>
          <w:p>
            <w:pPr>
              <w:rPr>
                <w:lang w:eastAsia="ja-JP"/>
              </w:rPr>
            </w:pPr>
          </w:p>
        </w:tc>
        <w:tc>
          <w:tcPr>
            <w:tcW w:w="589" w:type="dxa"/>
            <w:vAlign w:val="center"/>
          </w:tcPr>
          <w:p>
            <w:pPr>
              <w:rPr>
                <w:lang w:eastAsia="ja-JP"/>
              </w:rPr>
            </w:pPr>
          </w:p>
        </w:tc>
        <w:tc>
          <w:tcPr>
            <w:tcW w:w="2241" w:type="dxa"/>
            <w:vAlign w:val="center"/>
          </w:tcPr>
          <w:p>
            <w:pPr>
              <w:rPr>
                <w:lang w:eastAsia="ja-JP"/>
              </w:rPr>
            </w:pPr>
          </w:p>
        </w:tc>
        <w:tc>
          <w:tcPr>
            <w:tcW w:w="1231"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组长</w:t>
            </w:r>
          </w:p>
        </w:tc>
        <w:tc>
          <w:tcPr>
            <w:tcW w:w="711" w:type="dxa"/>
            <w:vAlign w:val="center"/>
          </w:tcPr>
          <w:p>
            <w:r>
              <w:t>女</w:t>
            </w:r>
          </w:p>
        </w:tc>
        <w:tc>
          <w:tcPr>
            <w:tcW w:w="3870" w:type="dxa"/>
            <w:vAlign w:val="center"/>
          </w:tcPr>
          <w:p>
            <w:r>
              <w:t>2020-N1EMS-1267598</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组员</w:t>
            </w:r>
          </w:p>
        </w:tc>
        <w:tc>
          <w:tcPr>
            <w:tcW w:w="711" w:type="dxa"/>
            <w:vAlign w:val="center"/>
          </w:tcPr>
          <w:p>
            <w:r>
              <w:t>男</w:t>
            </w:r>
          </w:p>
        </w:tc>
        <w:tc>
          <w:tcPr>
            <w:tcW w:w="3870" w:type="dxa"/>
            <w:vAlign w:val="center"/>
          </w:tcPr>
          <w:p>
            <w:r>
              <w:t>2021-N1EMS-2230067</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rPr>
                <w:highlight w:val="none"/>
              </w:rPr>
            </w:pPr>
            <w:r>
              <w:rPr>
                <w:rFonts w:hint="eastAsia"/>
                <w:highlight w:val="none"/>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ascii="宋体" w:hAnsi="宋体" w:eastAsia="宋体" w:cs="宋体"/>
        </w:rPr>
        <w:t>■</w:t>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eastAsia="宋体" w:cs="宋体"/>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szCs w:val="20"/>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rFonts w:ascii="Times New Roman" w:hAnsi="Times New Roman" w:eastAsia="宋体" w:cs="Times New Roman"/>
                <w:kern w:val="2"/>
                <w:sz w:val="21"/>
                <w:szCs w:val="24"/>
                <w:lang w:val="en-GB" w:eastAsia="zh-CN" w:bidi="ar-SA"/>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default"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ascii="宋体" w:hAnsi="宋体" w:eastAsia="宋体" w:cs="宋体"/>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rFonts w:ascii="宋体" w:hAnsi="宋体" w:cs="宋体"/>
                <w:color w:val="000000"/>
                <w:kern w:val="0"/>
                <w:szCs w:val="21"/>
              </w:rPr>
              <w:t>塑胶制品、纸制品、木制品、金属制品的销售所涉及场所的相关环境管理活动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在完成纠正措施后推荐认证注册(</w:t>
            </w:r>
            <w:r>
              <w:rPr>
                <w:rFonts w:hint="eastAsia" w:ascii="宋体" w:hAnsi="宋体" w:eastAsia="宋体" w:cs="宋体"/>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cs="宋体" w:eastAsiaTheme="minorEastAsia"/>
                <w:sz w:val="24"/>
                <w:lang w:eastAsia="zh-CN"/>
              </w:rPr>
              <w:drawing>
                <wp:anchor distT="0" distB="0" distL="114300" distR="114300" simplePos="0" relativeHeight="251661312" behindDoc="0" locked="0" layoutInCell="1" allowOverlap="1">
                  <wp:simplePos x="0" y="0"/>
                  <wp:positionH relativeFrom="column">
                    <wp:posOffset>384810</wp:posOffset>
                  </wp:positionH>
                  <wp:positionV relativeFrom="paragraph">
                    <wp:posOffset>52705</wp:posOffset>
                  </wp:positionV>
                  <wp:extent cx="696595" cy="351155"/>
                  <wp:effectExtent l="0" t="0" r="1905" b="4445"/>
                  <wp:wrapNone/>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6"/>
                          <a:stretch>
                            <a:fillRect/>
                          </a:stretch>
                        </pic:blipFill>
                        <pic:spPr>
                          <a:xfrm>
                            <a:off x="0" y="0"/>
                            <a:ext cx="696595" cy="35115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t>2022年07月30日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ascii="宋体" w:hAnsi="宋体" w:eastAsia="宋体" w:cs="宋体"/>
              </w:rPr>
              <w:t>■</w:t>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 xml:space="preserve">■法律法规 ■技术 ■竞争 ■市场 □文化 □社会 ■经济环境 </w:t>
                  </w:r>
                </w:p>
                <w:p>
                  <w:pPr>
                    <w:shd w:val="clear" w:color="auto" w:fill="EBF1DE" w:themeFill="accent3" w:themeFillTint="32"/>
                  </w:pPr>
                  <w:r>
                    <w:rPr>
                      <w:rFonts w:hint="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□文化  □知识 ■绩效 ■工艺 □设备 ■人员能力  </w:t>
                  </w:r>
                </w:p>
                <w:p>
                  <w:pPr>
                    <w:shd w:val="clear" w:color="auto" w:fill="EBF1DE" w:themeFill="accent3" w:themeFillTint="32"/>
                  </w:pPr>
                  <w:r>
                    <w:rPr>
                      <w:rFonts w:hint="eastAsia" w:ascii="宋体" w:hAnsi="宋体" w:cs="宋体"/>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■采购 ■人力资源■营销和市场  ■服务 ■检验 </w:t>
            </w:r>
            <w:r>
              <w:rPr>
                <w:rFonts w:hint="eastAsia" w:ascii="宋体" w:hAnsi="宋体" w:cs="宋体"/>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p>
          <w:p>
            <w:pPr>
              <w:shd w:val="clear" w:color="auto" w:fill="EBF1DE" w:themeFill="accent3" w:themeFillTint="32"/>
              <w:spacing w:before="40" w:after="40"/>
            </w:pPr>
            <w:r>
              <w:rPr>
                <w:rFonts w:hint="eastAsia"/>
              </w:rPr>
              <w:t xml:space="preserve">■节约能源  ■节约资源 ■达标排放 ■消防控制 </w:t>
            </w:r>
            <w:r>
              <w:rPr>
                <w:rFonts w:hint="eastAsia" w:ascii="宋体" w:hAnsi="宋体" w:cs="宋体"/>
              </w:rPr>
              <w:t>□危化品管理</w:t>
            </w:r>
            <w:r>
              <w:rPr>
                <w:rFonts w:hint="eastAsia"/>
              </w:rPr>
              <w:t xml:space="preserve"> </w:t>
            </w:r>
            <w:r>
              <w:rPr>
                <w:rFonts w:hint="eastAsia" w:ascii="宋体" w:hAnsi="宋体" w:cs="宋体"/>
              </w:rPr>
              <w:t>□特种设备管理</w:t>
            </w:r>
            <w:r>
              <w:rPr>
                <w:rFonts w:hint="eastAsia"/>
              </w:rPr>
              <w:t xml:space="preserve">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color w:val="FF0000"/>
                <w:lang w:val="en-GB"/>
              </w:rPr>
              <w:t xml:space="preserve"> </w:t>
            </w:r>
            <w:r>
              <w:rPr>
                <w:rFonts w:hint="eastAsia"/>
              </w:rPr>
              <w:t>无</w:t>
            </w:r>
          </w:p>
          <w:p>
            <w:pPr>
              <w:shd w:val="clear" w:color="auto" w:fill="EBF1DE" w:themeFill="accent3" w:themeFillTint="32"/>
              <w:spacing w:before="40" w:after="40"/>
            </w:pPr>
            <w:r>
              <w:rPr>
                <w:rFonts w:hint="eastAsia"/>
              </w:rPr>
              <w:t xml:space="preserve">□危险废物处置 □消防检测 </w:t>
            </w:r>
            <w:r>
              <w:rPr>
                <w:rFonts w:hint="eastAsia" w:ascii="宋体" w:hAnsi="宋体" w:cs="宋体"/>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adjustRightInd w:val="0"/>
              <w:snapToGrid w:val="0"/>
              <w:spacing w:line="400" w:lineRule="exact"/>
              <w:ind w:firstLine="210" w:firstLineChars="100"/>
              <w:jc w:val="left"/>
              <w:rPr>
                <w:b/>
                <w:bCs/>
                <w:highlight w:val="none"/>
                <w:lang w:val="en-GB"/>
              </w:rPr>
            </w:pPr>
            <w:r>
              <w:rPr>
                <w:rFonts w:hint="eastAsia"/>
                <w:highlight w:val="none"/>
              </w:rPr>
              <w:t>最高管</w:t>
            </w:r>
            <w:r>
              <w:rPr>
                <w:rFonts w:hint="eastAsia"/>
                <w:highlight w:val="none"/>
                <w:lang w:val="en-GB"/>
              </w:rPr>
              <w:t>理者制定了文件化的管理体系方针：</w:t>
            </w:r>
            <w:r>
              <w:rPr>
                <w:rFonts w:hint="eastAsia" w:asciiTheme="minorEastAsia" w:hAnsiTheme="minorEastAsia" w:eastAsiaTheme="minorEastAsia" w:cstheme="minorEastAsia"/>
                <w:szCs w:val="21"/>
                <w:highlight w:val="none"/>
                <w:lang w:eastAsia="zh-CN"/>
              </w:rPr>
              <w:t>质量为本、满意服务；污染预防、全员环保；</w:t>
            </w:r>
            <w:r>
              <w:rPr>
                <w:rFonts w:hint="eastAsia" w:ascii="宋体" w:hAnsi="宋体"/>
                <w:szCs w:val="21"/>
                <w:highlight w:val="none"/>
              </w:rPr>
              <w:t>。</w:t>
            </w:r>
          </w:p>
          <w:p>
            <w:pPr>
              <w:shd w:val="clear" w:color="auto" w:fill="EBF1DE" w:themeFill="accent3" w:themeFillTint="32"/>
              <w:rPr>
                <w:highlight w:val="none"/>
              </w:rPr>
            </w:pPr>
            <w:r>
              <w:rPr>
                <w:rFonts w:hint="eastAsia"/>
                <w:highlight w:val="none"/>
              </w:rPr>
              <w:t>环境</w:t>
            </w:r>
            <w:r>
              <w:rPr>
                <w:rFonts w:hint="eastAsia"/>
                <w:highlight w:val="none"/>
                <w:lang w:val="en-GB"/>
              </w:rPr>
              <w:t>方针合理恰当并为相应的</w:t>
            </w:r>
            <w:r>
              <w:rPr>
                <w:rFonts w:hint="eastAsia"/>
                <w:highlight w:val="none"/>
              </w:rPr>
              <w:t>环境</w:t>
            </w:r>
            <w:r>
              <w:rPr>
                <w:rFonts w:hint="eastAsia"/>
                <w:highlight w:val="none"/>
                <w:lang w:val="en-GB"/>
              </w:rPr>
              <w:t>目标提供了框架，</w:t>
            </w:r>
            <w:r>
              <w:rPr>
                <w:rFonts w:hint="eastAsia"/>
                <w:highlight w:val="none"/>
              </w:rPr>
              <w:t>包括了</w:t>
            </w:r>
            <w:r>
              <w:rPr>
                <w:rFonts w:hint="eastAsia"/>
                <w:highlight w:val="none"/>
                <w:lang w:val="en-GB"/>
              </w:rPr>
              <w:t>保护环境的承诺、履行其合规义务的承诺，持续改进环境管理体系以提高环境绩效的承诺；</w:t>
            </w:r>
            <w:r>
              <w:rPr>
                <w:rFonts w:hint="eastAsia"/>
                <w:highlight w:val="none"/>
              </w:rPr>
              <w:t>最高</w:t>
            </w:r>
            <w:r>
              <w:rPr>
                <w:rFonts w:hint="eastAsia"/>
                <w:highlight w:val="none"/>
                <w:lang w:val="en-GB"/>
              </w:rPr>
              <w:t>管理层已经宣布了组织的</w:t>
            </w:r>
            <w:r>
              <w:rPr>
                <w:rFonts w:hint="eastAsia"/>
                <w:highlight w:val="none"/>
              </w:rPr>
              <w:t>环境</w:t>
            </w:r>
            <w:r>
              <w:rPr>
                <w:rFonts w:hint="eastAsia"/>
                <w:highlight w:val="none"/>
                <w:lang w:val="en-GB"/>
              </w:rPr>
              <w:t>方针并进行了实施，它使所有员工负起持续改进</w:t>
            </w:r>
            <w:r>
              <w:rPr>
                <w:rFonts w:hint="eastAsia"/>
                <w:highlight w:val="none"/>
              </w:rPr>
              <w:t>环境</w:t>
            </w:r>
            <w:r>
              <w:rPr>
                <w:rFonts w:hint="eastAsia"/>
                <w:highlight w:val="none"/>
                <w:lang w:val="en-GB"/>
              </w:rPr>
              <w:t>管理体系的责任，</w:t>
            </w:r>
            <w:r>
              <w:rPr>
                <w:rFonts w:hint="eastAsia"/>
                <w:highlight w:val="none"/>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最高管理者确定了组织架构及相关岗位的职责、权限，并进行了全员的沟通和理解；</w:t>
            </w:r>
          </w:p>
          <w:p>
            <w:pPr>
              <w:shd w:val="clear" w:color="auto" w:fill="EBF1DE" w:themeFill="accent3" w:themeFillTint="32"/>
              <w:rPr>
                <w:highlight w:val="none"/>
              </w:rPr>
            </w:pPr>
            <w:r>
              <w:rPr>
                <w:rFonts w:hint="eastAsia"/>
                <w:highlight w:val="none"/>
              </w:rPr>
              <w:t>EMS的主管部门是——综合部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主要的风险或机遇描述</w:t>
                  </w:r>
                </w:p>
              </w:tc>
              <w:tc>
                <w:tcPr>
                  <w:tcW w:w="443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潜在火灾</w:t>
                  </w:r>
                </w:p>
              </w:tc>
              <w:tc>
                <w:tcPr>
                  <w:tcW w:w="4438" w:type="dxa"/>
                </w:tcPr>
                <w:p>
                  <w:pPr>
                    <w:shd w:val="clear" w:color="auto" w:fill="EBF1DE" w:themeFill="accent3" w:themeFillTint="32"/>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通过管理方案和预案措施、应急演练进行管理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固废排放</w:t>
                  </w:r>
                </w:p>
              </w:tc>
              <w:tc>
                <w:tcPr>
                  <w:tcW w:w="4438" w:type="dxa"/>
                </w:tcPr>
                <w:p>
                  <w:pPr>
                    <w:shd w:val="clear" w:color="auto" w:fill="EBF1DE" w:themeFill="accent3" w:themeFillTint="32"/>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采取分类收集、管理方案进行管理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color w:val="FF0000"/>
                      <w:szCs w:val="21"/>
                    </w:rPr>
                  </w:pPr>
                </w:p>
              </w:tc>
              <w:tc>
                <w:tcPr>
                  <w:tcW w:w="4438" w:type="dxa"/>
                </w:tcPr>
                <w:p>
                  <w:pPr>
                    <w:shd w:val="clear" w:color="auto" w:fill="EBF1DE" w:themeFill="accent3" w:themeFillTint="32"/>
                    <w:rPr>
                      <w:rFonts w:asciiTheme="minorEastAsia" w:hAnsiTheme="minorEastAsia" w:eastAsiaTheme="minorEastAsia"/>
                      <w:color w:val="FF0000"/>
                      <w:szCs w:val="21"/>
                    </w:rPr>
                  </w:pPr>
                </w:p>
              </w:tc>
              <w:tc>
                <w:tcPr>
                  <w:tcW w:w="1717" w:type="dxa"/>
                </w:tcPr>
                <w:p>
                  <w:pPr>
                    <w:shd w:val="clear" w:color="auto" w:fill="EBF1DE" w:themeFill="accent3" w:themeFillTint="32"/>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color w:val="FF0000"/>
                      <w:szCs w:val="21"/>
                      <w:highlight w:val="red"/>
                    </w:rPr>
                  </w:pPr>
                </w:p>
              </w:tc>
              <w:tc>
                <w:tcPr>
                  <w:tcW w:w="4438" w:type="dxa"/>
                </w:tcPr>
                <w:p>
                  <w:pPr>
                    <w:shd w:val="clear" w:color="auto" w:fill="EBF1DE" w:themeFill="accent3" w:themeFillTint="32"/>
                    <w:rPr>
                      <w:rFonts w:asciiTheme="minorEastAsia" w:hAnsiTheme="minorEastAsia" w:eastAsiaTheme="minorEastAsia"/>
                      <w:color w:val="FF0000"/>
                      <w:szCs w:val="21"/>
                    </w:rPr>
                  </w:pPr>
                </w:p>
              </w:tc>
              <w:tc>
                <w:tcPr>
                  <w:tcW w:w="1717" w:type="dxa"/>
                </w:tcPr>
                <w:p>
                  <w:pPr>
                    <w:shd w:val="clear" w:color="auto" w:fill="EBF1DE" w:themeFill="accent3" w:themeFillTint="32"/>
                    <w:rPr>
                      <w:color w:val="FF0000"/>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□废水排放  □废气排放 </w:t>
            </w:r>
            <w:r>
              <w:rPr>
                <w:rFonts w:hint="eastAsia" w:ascii="宋体" w:hAnsi="宋体" w:cs="宋体"/>
              </w:rPr>
              <w:t>□粉尘排放</w:t>
            </w:r>
            <w:r>
              <w:rPr>
                <w:rFonts w:hint="eastAsia"/>
              </w:rPr>
              <w:t xml:space="preserve">  □危废排放 □噪声排放  </w:t>
            </w:r>
            <w:r>
              <w:rPr>
                <w:rFonts w:hint="eastAsia" w:ascii="宋体" w:hAnsi="宋体" w:cs="宋体"/>
              </w:rPr>
              <w:t>□化学品泄露</w:t>
            </w:r>
            <w:r>
              <w:rPr>
                <w:rFonts w:hint="eastAsia"/>
              </w:rPr>
              <w:t xml:space="preserve"> □压力容器爆炸  ■火灾  ■其</w:t>
            </w:r>
            <w:r>
              <w:rPr>
                <w:rFonts w:hint="eastAsia"/>
                <w:highlight w:val="none"/>
              </w:rPr>
              <w:t>他：固体废弃物排放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□污水处理  □</w:t>
            </w:r>
            <w:r>
              <w:t>油烟</w:t>
            </w:r>
            <w:r>
              <w:rPr>
                <w:rFonts w:hint="eastAsia"/>
              </w:rPr>
              <w:t xml:space="preserve">处理设备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399"/>
              <w:gridCol w:w="108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399"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087"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highlight w:val="none"/>
                    </w:rPr>
                  </w:pPr>
                  <w:r>
                    <w:rPr>
                      <w:rFonts w:hint="eastAsia" w:ascii="宋体" w:hAnsi="宋体"/>
                      <w:szCs w:val="21"/>
                      <w:highlight w:val="none"/>
                    </w:rPr>
                    <w:t>固体废弃物处置率</w:t>
                  </w:r>
                  <w:r>
                    <w:rPr>
                      <w:rFonts w:ascii="宋体" w:hAnsi="宋体"/>
                      <w:szCs w:val="21"/>
                      <w:highlight w:val="none"/>
                    </w:rPr>
                    <w:t>100%</w:t>
                  </w:r>
                </w:p>
              </w:tc>
              <w:tc>
                <w:tcPr>
                  <w:tcW w:w="3399" w:type="dxa"/>
                  <w:shd w:val="clear" w:color="auto" w:fill="auto"/>
                  <w:vAlign w:val="center"/>
                </w:tcPr>
                <w:p>
                  <w:pPr>
                    <w:shd w:val="clear" w:color="auto" w:fill="EBF1DE" w:themeFill="accent3" w:themeFillTint="32"/>
                    <w:rPr>
                      <w:highlight w:val="none"/>
                    </w:rPr>
                  </w:pPr>
                  <w:r>
                    <w:rPr>
                      <w:rFonts w:hint="eastAsia"/>
                      <w:highlight w:val="none"/>
                    </w:rPr>
                    <w:t>采取分类收集、管理方案进行管理</w:t>
                  </w:r>
                </w:p>
              </w:tc>
              <w:tc>
                <w:tcPr>
                  <w:tcW w:w="1087" w:type="dxa"/>
                  <w:shd w:val="clear" w:color="auto" w:fill="auto"/>
                  <w:vAlign w:val="center"/>
                </w:tcPr>
                <w:p>
                  <w:pPr>
                    <w:shd w:val="clear" w:color="auto" w:fill="EBF1DE" w:themeFill="accent3" w:themeFillTint="32"/>
                  </w:pPr>
                  <w:r>
                    <w:rPr>
                      <w:rFonts w:hint="eastAsia"/>
                    </w:rPr>
                    <w:t>综合部</w:t>
                  </w:r>
                </w:p>
              </w:tc>
              <w:tc>
                <w:tcPr>
                  <w:tcW w:w="1774" w:type="dxa"/>
                  <w:shd w:val="clear" w:color="auto" w:fill="auto"/>
                  <w:vAlign w:val="center"/>
                </w:tcPr>
                <w:p>
                  <w:pPr>
                    <w:shd w:val="clear" w:color="auto" w:fill="EBF1DE" w:themeFill="accent3" w:themeFillTint="32"/>
                    <w:rPr>
                      <w:rFonts w:ascii="宋体" w:hAnsi="宋体"/>
                    </w:rPr>
                  </w:pPr>
                  <w:r>
                    <w:rPr>
                      <w:rFonts w:hint="eastAsia" w:ascii="宋体" w:hAnsi="宋体"/>
                      <w:szCs w:val="21"/>
                    </w:rPr>
                    <w:t>处置</w:t>
                  </w:r>
                  <w:r>
                    <w:rPr>
                      <w:rFonts w:hint="eastAsia" w:ascii="宋体" w:hAnsi="宋体"/>
                    </w:rPr>
                    <w:t>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rPr>
                      <w:highlight w:val="none"/>
                    </w:rPr>
                  </w:pPr>
                  <w:r>
                    <w:rPr>
                      <w:rFonts w:hint="eastAsia" w:ascii="宋体" w:hAnsi="宋体"/>
                      <w:szCs w:val="21"/>
                      <w:highlight w:val="none"/>
                    </w:rPr>
                    <w:t>重大火灾事故为0</w:t>
                  </w:r>
                </w:p>
              </w:tc>
              <w:tc>
                <w:tcPr>
                  <w:tcW w:w="3399" w:type="dxa"/>
                  <w:shd w:val="clear" w:color="auto" w:fill="auto"/>
                  <w:vAlign w:val="center"/>
                </w:tcPr>
                <w:p>
                  <w:pPr>
                    <w:shd w:val="clear" w:color="auto" w:fill="EBF1DE" w:themeFill="accent3" w:themeFillTint="32"/>
                    <w:rPr>
                      <w:highlight w:val="none"/>
                    </w:rPr>
                  </w:pPr>
                  <w:r>
                    <w:rPr>
                      <w:rFonts w:hint="eastAsia"/>
                      <w:highlight w:val="none"/>
                    </w:rPr>
                    <w:t>通过管理方案和预案措施、应急演练进行管理</w:t>
                  </w:r>
                </w:p>
              </w:tc>
              <w:tc>
                <w:tcPr>
                  <w:tcW w:w="1087" w:type="dxa"/>
                  <w:shd w:val="clear" w:color="auto" w:fill="auto"/>
                  <w:vAlign w:val="center"/>
                </w:tcPr>
                <w:p>
                  <w:pPr>
                    <w:shd w:val="clear" w:color="auto" w:fill="EBF1DE" w:themeFill="accent3" w:themeFillTint="32"/>
                  </w:pPr>
                  <w:r>
                    <w:rPr>
                      <w:rFonts w:hint="eastAsia"/>
                    </w:rPr>
                    <w:t>综合部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rPr>
                      <w:highlight w:val="red"/>
                    </w:rPr>
                  </w:pPr>
                </w:p>
              </w:tc>
              <w:tc>
                <w:tcPr>
                  <w:tcW w:w="3399" w:type="dxa"/>
                  <w:shd w:val="clear" w:color="auto" w:fill="auto"/>
                  <w:vAlign w:val="center"/>
                </w:tcPr>
                <w:p>
                  <w:pPr>
                    <w:shd w:val="clear" w:color="auto" w:fill="EBF1DE" w:themeFill="accent3" w:themeFillTint="32"/>
                    <w:rPr>
                      <w:rFonts w:ascii="宋体" w:hAnsi="宋体"/>
                      <w:highlight w:val="red"/>
                    </w:rPr>
                  </w:pPr>
                </w:p>
              </w:tc>
              <w:tc>
                <w:tcPr>
                  <w:tcW w:w="1087"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ascii="宋体" w:hAnsi="宋体"/>
                      <w:szCs w:val="21"/>
                    </w:rPr>
                  </w:pPr>
                </w:p>
              </w:tc>
              <w:tc>
                <w:tcPr>
                  <w:tcW w:w="3399" w:type="dxa"/>
                  <w:shd w:val="clear" w:color="auto" w:fill="auto"/>
                  <w:vAlign w:val="center"/>
                </w:tcPr>
                <w:p>
                  <w:pPr>
                    <w:shd w:val="clear" w:color="auto" w:fill="EBF1DE" w:themeFill="accent3" w:themeFillTint="32"/>
                    <w:rPr>
                      <w:rFonts w:ascii="宋体" w:hAnsi="宋体"/>
                    </w:rPr>
                  </w:pPr>
                </w:p>
              </w:tc>
              <w:tc>
                <w:tcPr>
                  <w:tcW w:w="1087"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74"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t>■组织现有人力资源的能力可满足环境管理体系运行；</w:t>
            </w:r>
          </w:p>
          <w:p>
            <w:pPr>
              <w:shd w:val="clear" w:color="auto" w:fill="EBF1DE" w:themeFill="accent3" w:themeFillTint="32"/>
            </w:pPr>
            <w:r>
              <w:rPr>
                <w:rFonts w:hint="eastAsia"/>
              </w:rPr>
              <w:t xml:space="preserve">□组织现有人力资源的能力可基本环境环境管理体系运行，但是还有不足需要补充：      </w:t>
            </w:r>
          </w:p>
          <w:p>
            <w:pPr>
              <w:shd w:val="clear" w:color="auto" w:fill="EBF1DE" w:themeFill="accent3" w:themeFillTint="32"/>
            </w:pPr>
            <w:r>
              <w:rPr>
                <w:rFonts w:hint="eastAsia"/>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组织应确定、提供并维护所需的基础设施情况：</w:t>
            </w:r>
          </w:p>
          <w:p>
            <w:pPr>
              <w:shd w:val="clear" w:color="auto" w:fill="EBF1DE" w:themeFill="accent3" w:themeFillTint="32"/>
              <w:rPr>
                <w:highlight w:val="none"/>
              </w:rPr>
            </w:pPr>
            <w:r>
              <w:rPr>
                <w:rFonts w:hint="eastAsia"/>
                <w:highlight w:val="none"/>
                <w:lang w:val="en-US" w:eastAsia="zh-CN"/>
              </w:rPr>
              <w:t>办公</w:t>
            </w:r>
            <w:r>
              <w:rPr>
                <w:rFonts w:hint="eastAsia"/>
                <w:highlight w:val="none"/>
              </w:rPr>
              <w:t>场所共约</w:t>
            </w:r>
            <w:r>
              <w:rPr>
                <w:rFonts w:hint="eastAsia"/>
                <w:highlight w:val="none"/>
                <w:lang w:val="en-US" w:eastAsia="zh-CN"/>
              </w:rPr>
              <w:t>300</w:t>
            </w:r>
            <w:r>
              <w:rPr>
                <w:rFonts w:hint="eastAsia"/>
                <w:highlight w:val="none"/>
              </w:rPr>
              <w:t>平方米；库房1 个；</w:t>
            </w:r>
          </w:p>
          <w:p>
            <w:pPr>
              <w:shd w:val="clear" w:color="auto" w:fill="EBF1DE" w:themeFill="accent3" w:themeFillTint="32"/>
              <w:rPr>
                <w:highlight w:val="none"/>
              </w:rPr>
            </w:pPr>
            <w:r>
              <w:rPr>
                <w:rFonts w:hint="eastAsia"/>
                <w:highlight w:val="none"/>
              </w:rPr>
              <w:t>主要生产设备有：</w:t>
            </w:r>
            <w:r>
              <w:rPr>
                <w:rFonts w:hint="eastAsia"/>
                <w:highlight w:val="none"/>
                <w:u w:val="single"/>
                <w:lang w:val="en-US" w:eastAsia="zh-CN"/>
              </w:rPr>
              <w:t>叉车、</w:t>
            </w:r>
            <w:r>
              <w:rPr>
                <w:rFonts w:hint="eastAsia"/>
                <w:highlight w:val="none"/>
                <w:u w:val="single"/>
              </w:rPr>
              <w:t>小汽车、手动搬运设备，周转箱、托盘电脑及办公设备</w:t>
            </w:r>
            <w:r>
              <w:rPr>
                <w:rFonts w:hint="eastAsia"/>
                <w:highlight w:val="none"/>
              </w:rPr>
              <w:t>等。</w:t>
            </w:r>
          </w:p>
          <w:p>
            <w:pPr>
              <w:shd w:val="clear" w:color="auto" w:fill="EBF1DE" w:themeFill="accent3" w:themeFillTint="32"/>
              <w:rPr>
                <w:highlight w:val="none"/>
              </w:rPr>
            </w:pPr>
            <w:r>
              <w:rPr>
                <w:rFonts w:hint="eastAsia"/>
                <w:highlight w:val="none"/>
              </w:rPr>
              <w:t>特种设备：</w:t>
            </w:r>
            <w:r>
              <w:rPr>
                <w:rFonts w:hint="eastAsia" w:ascii="宋体" w:hAnsi="宋体" w:eastAsia="宋体" w:cs="宋体"/>
                <w:highlight w:val="none"/>
              </w:rPr>
              <w:t>■</w:t>
            </w:r>
            <w:r>
              <w:rPr>
                <w:rFonts w:hint="eastAsia"/>
                <w:highlight w:val="none"/>
              </w:rPr>
              <w:t>叉车□行车□锅炉□电梯□压力容器□压力管道□不适用</w:t>
            </w:r>
          </w:p>
          <w:p>
            <w:pPr>
              <w:shd w:val="clear" w:color="auto" w:fill="EBF1DE" w:themeFill="accent3" w:themeFillTint="32"/>
              <w:rPr>
                <w:highlight w:val="none"/>
              </w:rPr>
            </w:pPr>
            <w:r>
              <w:rPr>
                <w:rFonts w:hint="eastAsia"/>
                <w:highlight w:val="none"/>
              </w:rPr>
              <w:t xml:space="preserve">辅助场所：□高压配电室 □低压配电室 □空压站 □锅炉房 □食堂  □危化品库  </w:t>
            </w:r>
          </w:p>
          <w:p>
            <w:pPr>
              <w:shd w:val="clear" w:color="auto" w:fill="EBF1DE" w:themeFill="accent3" w:themeFillTint="32"/>
              <w:rPr>
                <w:highlight w:val="none"/>
              </w:rPr>
            </w:pPr>
            <w:r>
              <w:rPr>
                <w:rFonts w:hint="eastAsia"/>
                <w:highlight w:val="none"/>
              </w:rPr>
              <w:t>□危废库  □建筑施工 □污水处理站  □其他</w:t>
            </w:r>
          </w:p>
          <w:p>
            <w:pPr>
              <w:shd w:val="clear" w:color="auto" w:fill="EBF1DE" w:themeFill="accent3" w:themeFillTint="32"/>
              <w:rPr>
                <w:highlight w:val="none"/>
              </w:rPr>
            </w:pPr>
            <w:r>
              <w:rPr>
                <w:rFonts w:hint="eastAsia"/>
                <w:highlight w:val="none"/>
              </w:rPr>
              <w:t>■组织现有基础设施可满足环境管理体系运行；</w:t>
            </w:r>
          </w:p>
          <w:p>
            <w:pPr>
              <w:shd w:val="clear" w:color="auto" w:fill="EBF1DE" w:themeFill="accent3" w:themeFillTint="32"/>
              <w:rPr>
                <w:highlight w:val="none"/>
              </w:rPr>
            </w:pPr>
            <w:r>
              <w:rPr>
                <w:rFonts w:hint="eastAsia"/>
                <w:highlight w:val="none"/>
              </w:rPr>
              <w:t xml:space="preserve">□组织现有基础设施可基本满足环境管理体系运行，但是还有不足需要补充：           </w:t>
            </w:r>
          </w:p>
          <w:p>
            <w:pPr>
              <w:shd w:val="clear" w:color="auto" w:fill="EBF1DE" w:themeFill="accent3" w:themeFillTint="32"/>
              <w:rPr>
                <w:highlight w:val="none"/>
              </w:rPr>
            </w:pPr>
            <w:r>
              <w:rPr>
                <w:rFonts w:hint="eastAsia"/>
                <w:highlight w:val="none"/>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highlight w:val="none"/>
              </w:rPr>
            </w:pPr>
            <w:r>
              <w:rPr>
                <w:rFonts w:hint="eastAsia"/>
              </w:rPr>
              <w:t>通过 ■招聘 □换岗 ■培</w:t>
            </w:r>
            <w:r>
              <w:rPr>
                <w:rFonts w:hint="eastAsia"/>
                <w:highlight w:val="none"/>
              </w:rPr>
              <w:t>训  ■考核   □辅导  □其他</w:t>
            </w:r>
          </w:p>
          <w:p>
            <w:pPr>
              <w:shd w:val="clear" w:color="auto" w:fill="EBF1DE" w:themeFill="accent3" w:themeFillTint="32"/>
              <w:rPr>
                <w:highlight w:val="none"/>
              </w:rPr>
            </w:pPr>
            <w:r>
              <w:rPr>
                <w:rFonts w:hint="eastAsia"/>
                <w:highlight w:val="none"/>
              </w:rPr>
              <w:t>对国家规定持证上岗的人员资质进行了有效的管理。</w:t>
            </w:r>
          </w:p>
          <w:p>
            <w:pPr>
              <w:shd w:val="clear" w:color="auto" w:fill="EBF1DE" w:themeFill="accent3" w:themeFillTint="32"/>
              <w:rPr>
                <w:highlight w:val="none"/>
              </w:rPr>
            </w:pPr>
            <w:r>
              <w:rPr>
                <w:rFonts w:hint="eastAsia"/>
                <w:highlight w:val="none"/>
              </w:rPr>
              <w:t>特种作业人员：</w:t>
            </w:r>
            <w:r>
              <w:rPr>
                <w:rFonts w:hint="eastAsia" w:ascii="宋体" w:hAnsi="宋体" w:cs="宋体"/>
                <w:highlight w:val="none"/>
              </w:rPr>
              <w:t>□电工</w:t>
            </w:r>
            <w:r>
              <w:rPr>
                <w:rFonts w:ascii="Wingdings" w:hAnsi="Wingdings"/>
                <w:highlight w:val="none"/>
              </w:rPr>
              <w:t></w:t>
            </w:r>
            <w:r>
              <w:rPr>
                <w:rFonts w:hint="eastAsia" w:ascii="Wingdings" w:hAnsi="Wingdings"/>
                <w:highlight w:val="none"/>
              </w:rPr>
              <w:t>□焊工</w:t>
            </w:r>
            <w:r>
              <w:rPr>
                <w:rFonts w:hint="eastAsia"/>
                <w:highlight w:val="none"/>
              </w:rPr>
              <w:t xml:space="preserve">  </w:t>
            </w:r>
            <w:r>
              <w:rPr>
                <w:rFonts w:hint="eastAsia" w:ascii="Wingdings" w:hAnsi="Wingdings"/>
                <w:highlight w:val="none"/>
              </w:rPr>
              <w:t>□</w:t>
            </w:r>
            <w:r>
              <w:rPr>
                <w:rFonts w:hint="eastAsia"/>
                <w:highlight w:val="none"/>
              </w:rPr>
              <w:t xml:space="preserve">危化品作业  </w:t>
            </w:r>
            <w:r>
              <w:rPr>
                <w:rFonts w:hint="eastAsia" w:ascii="Wingdings" w:hAnsi="Wingdings"/>
                <w:highlight w:val="none"/>
              </w:rPr>
              <w:t>□</w:t>
            </w:r>
            <w:r>
              <w:rPr>
                <w:rFonts w:hint="eastAsia"/>
                <w:highlight w:val="none"/>
              </w:rPr>
              <w:t xml:space="preserve">制冷工   </w:t>
            </w:r>
            <w:r>
              <w:rPr>
                <w:rFonts w:hint="eastAsia" w:ascii="Wingdings" w:hAnsi="Wingdings"/>
                <w:highlight w:val="none"/>
              </w:rPr>
              <w:t>□</w:t>
            </w:r>
            <w:r>
              <w:rPr>
                <w:rFonts w:hint="eastAsia"/>
                <w:highlight w:val="none"/>
              </w:rPr>
              <w:t xml:space="preserve">其他  </w:t>
            </w:r>
          </w:p>
          <w:p>
            <w:pPr>
              <w:shd w:val="clear" w:color="auto" w:fill="EBF1DE" w:themeFill="accent3" w:themeFillTint="32"/>
            </w:pPr>
            <w:r>
              <w:rPr>
                <w:rFonts w:hint="eastAsia"/>
                <w:highlight w:val="none"/>
              </w:rPr>
              <w:t>特种设备作业人员：</w:t>
            </w:r>
            <w:r>
              <w:rPr>
                <w:rFonts w:hint="eastAsia" w:ascii="宋体" w:hAnsi="宋体" w:eastAsia="宋体" w:cs="宋体"/>
                <w:highlight w:val="none"/>
              </w:rPr>
              <w:t>■</w:t>
            </w:r>
            <w:r>
              <w:rPr>
                <w:rFonts w:hint="eastAsia"/>
                <w:highlight w:val="none"/>
              </w:rPr>
              <w:t xml:space="preserve">叉车工 </w:t>
            </w:r>
            <w:r>
              <w:rPr>
                <w:rFonts w:hint="eastAsia" w:ascii="Wingdings" w:hAnsi="Wingdings"/>
                <w:highlight w:val="none"/>
              </w:rPr>
              <w:t>□</w:t>
            </w:r>
            <w:r>
              <w:rPr>
                <w:rFonts w:hint="eastAsia"/>
                <w:highlight w:val="none"/>
              </w:rPr>
              <w:t xml:space="preserve">行车工  </w:t>
            </w:r>
            <w:r>
              <w:rPr>
                <w:rFonts w:hint="eastAsia" w:ascii="Wingdings" w:hAnsi="Wingdings"/>
                <w:highlight w:val="none"/>
              </w:rPr>
              <w:t>□</w:t>
            </w:r>
            <w:r>
              <w:rPr>
                <w:rFonts w:hint="eastAsia"/>
                <w:highlight w:val="none"/>
              </w:rPr>
              <w:t>锅</w:t>
            </w:r>
            <w:r>
              <w:rPr>
                <w:rFonts w:hint="eastAsia"/>
              </w:rPr>
              <w:t xml:space="preserve">炉工  </w:t>
            </w:r>
            <w:r>
              <w:rPr>
                <w:rFonts w:hint="eastAsia" w:ascii="Wingdings" w:hAnsi="Wingdings"/>
              </w:rPr>
              <w:t>□压力容器</w:t>
            </w:r>
            <w:r>
              <w:rPr>
                <w:rFonts w:hint="eastAsia"/>
              </w:rPr>
              <w:t xml:space="preserve">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内部沟通方式：■文件发放 ■会议 ■标语  ■展板   □其他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服务流程图 </w:t>
            </w:r>
            <w:r>
              <w:rPr>
                <w:rFonts w:hint="eastAsia" w:ascii="Wingdings" w:hAnsi="Wingdings"/>
              </w:rPr>
              <w:t>■</w:t>
            </w:r>
            <w:r>
              <w:rPr>
                <w:rFonts w:hint="eastAsia"/>
              </w:rPr>
              <w:t xml:space="preserve">作业文件  </w:t>
            </w:r>
            <w:r>
              <w:rPr>
                <w:rFonts w:hint="eastAsia" w:ascii="宋体" w:hAnsi="宋体" w:cs="宋体"/>
              </w:rPr>
              <w:t>□MSDS</w:t>
            </w:r>
            <w:r>
              <w:rPr>
                <w:rFonts w:hint="eastAsia"/>
              </w:rPr>
              <w:t xml:space="preserve">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组织建立、实施和保持了适当的设计和开发过程，以确保后续的产品和服务的提供中满足环境相关的法律法规。（不适用）</w:t>
            </w:r>
          </w:p>
          <w:p>
            <w:pPr>
              <w:shd w:val="clear" w:color="auto" w:fill="EBF1DE" w:themeFill="accent3" w:themeFillTint="32"/>
            </w:pPr>
            <w:r>
              <w:rPr>
                <w:rFonts w:hint="eastAsia"/>
              </w:rPr>
              <w:t>审核期间内，设计和开发新产品/项目名称：</w:t>
            </w:r>
            <w:r>
              <w:rPr>
                <w:rFonts w:hint="eastAsia"/>
                <w:u w:val="single"/>
              </w:rPr>
              <w:t xml:space="preserve">      （举1例）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宋体" w:hAnsi="宋体" w:cs="宋体"/>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宋体" w:hAnsi="宋体" w:cs="宋体"/>
              </w:rPr>
              <w:t>■</w:t>
            </w:r>
            <w:r>
              <w:rPr>
                <w:rFonts w:hint="eastAsia"/>
              </w:rPr>
              <w:t xml:space="preserve">设备维保  </w:t>
            </w:r>
            <w:r>
              <w:rPr>
                <w:rFonts w:hint="eastAsia" w:ascii="Wingdings" w:hAnsi="Wingdings"/>
              </w:rPr>
              <w:t>□</w:t>
            </w:r>
            <w:r>
              <w:rPr>
                <w:rFonts w:hint="eastAsia"/>
              </w:rPr>
              <w:t xml:space="preserve">运输  </w:t>
            </w:r>
            <w:r>
              <w:rPr>
                <w:rFonts w:hint="eastAsia" w:ascii="宋体" w:hAnsi="宋体" w:cs="宋体"/>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9"/>
              <w:gridCol w:w="4430"/>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shd w:val="clear" w:color="auto" w:fill="EBF1DE" w:themeFill="accent3" w:themeFillTint="32"/>
                    <w:jc w:val="left"/>
                  </w:pPr>
                  <w:r>
                    <w:rPr>
                      <w:rFonts w:hint="eastAsia"/>
                    </w:rPr>
                    <w:t>重要环境因素</w:t>
                  </w:r>
                </w:p>
              </w:tc>
              <w:tc>
                <w:tcPr>
                  <w:tcW w:w="4430" w:type="dxa"/>
                </w:tcPr>
                <w:p>
                  <w:pPr>
                    <w:shd w:val="clear" w:color="auto" w:fill="EBF1DE" w:themeFill="accent3" w:themeFillTint="32"/>
                    <w:jc w:val="left"/>
                  </w:pPr>
                  <w:r>
                    <w:rPr>
                      <w:rFonts w:hint="eastAsia"/>
                    </w:rPr>
                    <w:t>控制措施</w:t>
                  </w:r>
                </w:p>
              </w:tc>
              <w:tc>
                <w:tcPr>
                  <w:tcW w:w="2303"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rPr>
                      <w:highlight w:val="none"/>
                    </w:rPr>
                  </w:pPr>
                  <w:r>
                    <w:rPr>
                      <w:rFonts w:hint="eastAsia"/>
                      <w:highlight w:val="none"/>
                    </w:rPr>
                    <w:t>固废排放</w:t>
                  </w:r>
                </w:p>
              </w:tc>
              <w:tc>
                <w:tcPr>
                  <w:tcW w:w="4430" w:type="dxa"/>
                </w:tcPr>
                <w:p>
                  <w:pPr>
                    <w:shd w:val="clear" w:color="auto" w:fill="EBF1DE" w:themeFill="accent3" w:themeFillTint="32"/>
                    <w:jc w:val="left"/>
                    <w:rPr>
                      <w:highlight w:val="none"/>
                    </w:rPr>
                  </w:pPr>
                  <w:r>
                    <w:rPr>
                      <w:rFonts w:hint="eastAsia"/>
                      <w:highlight w:val="none"/>
                    </w:rPr>
                    <w:t>采取分类收集、管理方案进行管理</w:t>
                  </w:r>
                </w:p>
              </w:tc>
              <w:tc>
                <w:tcPr>
                  <w:tcW w:w="2303"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rPr>
                      <w:highlight w:val="none"/>
                    </w:rPr>
                  </w:pPr>
                  <w:r>
                    <w:rPr>
                      <w:rFonts w:hint="eastAsia"/>
                      <w:highlight w:val="none"/>
                    </w:rPr>
                    <w:t>潜在火灾</w:t>
                  </w:r>
                </w:p>
              </w:tc>
              <w:tc>
                <w:tcPr>
                  <w:tcW w:w="4430" w:type="dxa"/>
                </w:tcPr>
                <w:p>
                  <w:pPr>
                    <w:shd w:val="clear" w:color="auto" w:fill="EBF1DE" w:themeFill="accent3" w:themeFillTint="32"/>
                    <w:jc w:val="left"/>
                    <w:rPr>
                      <w:highlight w:val="none"/>
                    </w:rPr>
                  </w:pPr>
                  <w:r>
                    <w:rPr>
                      <w:rFonts w:hint="eastAsia"/>
                      <w:highlight w:val="none"/>
                    </w:rPr>
                    <w:t>通过管理方案和预案措施、应急演练进行管理</w:t>
                  </w:r>
                </w:p>
              </w:tc>
              <w:tc>
                <w:tcPr>
                  <w:tcW w:w="2303"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rPr>
                      <w:color w:val="FF0000"/>
                    </w:rPr>
                  </w:pPr>
                </w:p>
              </w:tc>
              <w:tc>
                <w:tcPr>
                  <w:tcW w:w="4430" w:type="dxa"/>
                </w:tcPr>
                <w:p>
                  <w:pPr>
                    <w:shd w:val="clear" w:color="auto" w:fill="EBF1DE" w:themeFill="accent3" w:themeFillTint="32"/>
                    <w:jc w:val="left"/>
                  </w:pPr>
                </w:p>
              </w:tc>
              <w:tc>
                <w:tcPr>
                  <w:tcW w:w="2303"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89" w:type="dxa"/>
                  <w:vAlign w:val="center"/>
                </w:tcPr>
                <w:p>
                  <w:pPr>
                    <w:rPr>
                      <w:color w:val="FF0000"/>
                    </w:rPr>
                  </w:pPr>
                </w:p>
              </w:tc>
              <w:tc>
                <w:tcPr>
                  <w:tcW w:w="4430" w:type="dxa"/>
                </w:tcPr>
                <w:p>
                  <w:pPr>
                    <w:shd w:val="clear" w:color="auto" w:fill="EBF1DE" w:themeFill="accent3" w:themeFillTint="32"/>
                    <w:jc w:val="left"/>
                  </w:pPr>
                </w:p>
              </w:tc>
              <w:tc>
                <w:tcPr>
                  <w:tcW w:w="2303"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w:t>
            </w:r>
          </w:p>
          <w:p>
            <w:pPr>
              <w:shd w:val="clear" w:color="auto" w:fill="EBF1DE" w:themeFill="accent3" w:themeFillTint="32"/>
              <w:rPr>
                <w:u w:val="single"/>
              </w:rPr>
            </w:pPr>
            <w:r>
              <w:rPr>
                <w:rFonts w:hint="eastAsia"/>
              </w:rPr>
              <w:t>特种设备管理：</w:t>
            </w:r>
            <w:r>
              <w:rPr>
                <w:rFonts w:hint="eastAsia" w:ascii="宋体" w:hAnsi="宋体" w:cs="宋体"/>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宋体" w:hAnsi="宋体" w:cs="宋体"/>
              </w:rPr>
              <w:t>□MSDS</w:t>
            </w:r>
            <w:r>
              <w:rPr>
                <w:rFonts w:hint="eastAsia"/>
              </w:rPr>
              <w:t xml:space="preserve"> </w:t>
            </w:r>
            <w:r>
              <w:rPr>
                <w:rFonts w:hint="eastAsia" w:ascii="宋体" w:hAnsi="宋体" w:cs="宋体"/>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宋体" w:hAnsi="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宋体" w:hAnsi="宋体" w:cs="宋体"/>
              </w:rPr>
              <w:t>■</w:t>
            </w:r>
            <w:r>
              <w:rPr>
                <w:rFonts w:hint="eastAsia"/>
              </w:rPr>
              <w:t>其他：售后服务</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已发生的更改包括：无</w:t>
            </w:r>
          </w:p>
          <w:p>
            <w:pPr>
              <w:shd w:val="clear" w:color="auto" w:fill="EBF1DE" w:themeFill="accent3" w:themeFillTint="32"/>
            </w:pPr>
            <w:r>
              <w:rPr>
                <w:rFonts w:hint="eastAsia" w:ascii="Wingdings" w:hAnsi="Wingdings"/>
              </w:rPr>
              <w:t>□</w:t>
            </w:r>
            <w:r>
              <w:rPr>
                <w:rFonts w:hint="eastAsia"/>
              </w:rPr>
              <w:t xml:space="preserve">重要原材料 □设备 □检测设备 </w:t>
            </w:r>
            <w:r>
              <w:rPr>
                <w:rFonts w:hint="eastAsia" w:ascii="Wingdings" w:hAnsi="Wingdings"/>
              </w:rPr>
              <w:t>□</w:t>
            </w:r>
            <w:r>
              <w:rPr>
                <w:rFonts w:hint="eastAsia"/>
              </w:rPr>
              <w:t xml:space="preserve">图纸 </w:t>
            </w:r>
            <w:r>
              <w:rPr>
                <w:rFonts w:hint="eastAsia" w:ascii="Wingdings" w:hAnsi="Wingdings"/>
              </w:rPr>
              <w:t>□</w:t>
            </w:r>
            <w:r>
              <w:rPr>
                <w:rFonts w:hint="eastAsia"/>
              </w:rPr>
              <w:t>工艺 □加工场所 □其他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cs="宋体"/>
                <w:szCs w:val="21"/>
              </w:rPr>
              <w:t>《</w:t>
            </w:r>
            <w:r>
              <w:rPr>
                <w:rFonts w:hint="eastAsia" w:ascii="宋体" w:hAnsi="宋体" w:cs="宋体"/>
                <w:szCs w:val="21"/>
              </w:rPr>
              <w:t>消防火灾应急疏散预案</w:t>
            </w:r>
            <w:r>
              <w:rPr>
                <w:rFonts w:hint="eastAsia" w:cs="宋体"/>
                <w:szCs w:val="21"/>
              </w:rPr>
              <w:t>》</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 xml:space="preserve">审核周期内发生过紧急情况：■未发生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rPr>
                <w:color w:val="000000" w:themeColor="text1"/>
                <w:highlight w:val="none"/>
                <w14:textFill>
                  <w14:solidFill>
                    <w14:schemeClr w14:val="tx1"/>
                  </w14:solidFill>
                </w14:textFill>
              </w:rPr>
            </w:pPr>
            <w:r>
              <w:rPr>
                <w:rFonts w:hint="eastAsia"/>
              </w:rPr>
              <w:t xml:space="preserve"> </w:t>
            </w:r>
          </w:p>
          <w:p>
            <w:pPr>
              <w:shd w:val="clear" w:color="auto" w:fill="EBF1DE" w:themeFill="accent3" w:themeFillTint="32"/>
            </w:pPr>
            <w:r>
              <w:rPr>
                <w:rFonts w:hint="eastAsia"/>
                <w:color w:val="000000" w:themeColor="text1"/>
                <w:highlight w:val="none"/>
                <w14:textFill>
                  <w14:solidFill>
                    <w14:schemeClr w14:val="tx1"/>
                  </w14:solidFill>
                </w14:textFill>
              </w:rPr>
              <w:t>于</w:t>
            </w:r>
            <w:r>
              <w:rPr>
                <w:rFonts w:hint="eastAsia" w:ascii="宋体" w:hAnsi="宋体" w:eastAsia="宋体" w:cs="宋体"/>
                <w:color w:val="000000" w:themeColor="text1"/>
                <w:kern w:val="0"/>
                <w:sz w:val="21"/>
                <w:szCs w:val="21"/>
                <w:highlight w:val="none"/>
                <w:lang w:eastAsia="zh-CN"/>
                <w14:textFill>
                  <w14:solidFill>
                    <w14:schemeClr w14:val="tx1"/>
                  </w14:solidFill>
                </w14:textFill>
              </w:rPr>
              <w:t>2022年05月6日</w:t>
            </w:r>
            <w:r>
              <w:rPr>
                <w:rFonts w:hint="eastAsia"/>
                <w:color w:val="000000" w:themeColor="text1"/>
                <w:highlight w:val="none"/>
                <w14:textFill>
                  <w14:solidFill>
                    <w14:schemeClr w14:val="tx1"/>
                  </w14:solidFill>
                </w14:textFill>
              </w:rPr>
              <w:t>进行了消防火灾</w:t>
            </w:r>
            <w:r>
              <w:rPr>
                <w:rFonts w:hint="eastAsia"/>
              </w:rPr>
              <w:t xml:space="preserve">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 xml:space="preserve">应急准备和响应控制：■符合要求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u w:val="single"/>
              </w:rPr>
            </w:pPr>
            <w:r>
              <w:rPr>
                <w:rFonts w:hint="eastAsia" w:ascii="宋体" w:hAnsi="宋体" w:cs="宋体"/>
              </w:rPr>
              <w:t>■</w:t>
            </w:r>
            <w:r>
              <w:rPr>
                <w:rFonts w:hint="eastAsia"/>
              </w:rPr>
              <w:t>定期（每年）：</w:t>
            </w:r>
            <w:r>
              <w:rPr>
                <w:rFonts w:hint="eastAsia" w:ascii="Times New Roman" w:hAnsi="Times New Roman" w:eastAsia="宋体" w:cs="Times New Roman"/>
                <w:u w:val="single"/>
                <w:lang w:val="en-US" w:eastAsia="zh-CN"/>
              </w:rPr>
              <w:t>202</w:t>
            </w:r>
            <w:r>
              <w:rPr>
                <w:rFonts w:hint="default" w:ascii="Times New Roman" w:hAnsi="Times New Roman" w:eastAsia="宋体" w:cs="Times New Roman"/>
                <w:u w:val="single"/>
                <w:lang w:eastAsia="zh-CN"/>
              </w:rPr>
              <w:t>2</w:t>
            </w:r>
            <w:r>
              <w:rPr>
                <w:rFonts w:hint="eastAsia" w:ascii="Times New Roman" w:hAnsi="Times New Roman" w:eastAsia="宋体" w:cs="Times New Roman"/>
                <w:u w:val="single"/>
                <w:lang w:val="en-US" w:eastAsia="zh-CN"/>
              </w:rPr>
              <w:t>年</w:t>
            </w:r>
            <w:r>
              <w:rPr>
                <w:rFonts w:hint="default" w:ascii="Times New Roman" w:hAnsi="Times New Roman" w:eastAsia="宋体" w:cs="Times New Roman"/>
                <w:u w:val="single"/>
                <w:lang w:eastAsia="zh-CN"/>
              </w:rPr>
              <w:t>5</w:t>
            </w:r>
            <w:r>
              <w:rPr>
                <w:rFonts w:hint="eastAsia" w:ascii="Times New Roman" w:hAnsi="Times New Roman" w:eastAsia="宋体" w:cs="Times New Roman"/>
                <w:u w:val="single"/>
                <w:lang w:val="en-US" w:eastAsia="zh-CN"/>
              </w:rPr>
              <w:t>月15日</w:t>
            </w:r>
            <w:r>
              <w:rPr>
                <w:rFonts w:hint="eastAsia" w:ascii="Times New Roman" w:hAnsi="Times New Roman" w:eastAsia="宋体" w:cs="Times New Roman"/>
                <w:u w:val="single"/>
              </w:rPr>
              <w:t>组织进行了合规</w:t>
            </w:r>
            <w:r>
              <w:rPr>
                <w:rFonts w:hint="eastAsia"/>
                <w:u w:val="single"/>
              </w:rPr>
              <w:t>性评价，有评价记录。</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color w:val="000000" w:themeColor="text1"/>
                <w:highlight w:val="none"/>
                <w14:textFill>
                  <w14:solidFill>
                    <w14:schemeClr w14:val="tx1"/>
                  </w14:solidFill>
                </w14:textFill>
              </w:rPr>
              <w:t>划于</w:t>
            </w:r>
            <w:r>
              <w:rPr>
                <w:rFonts w:hint="eastAsia" w:ascii="宋体" w:hAnsi="宋体" w:eastAsia="宋体" w:cs="Times New Roman"/>
                <w:color w:val="000000" w:themeColor="text1"/>
                <w:sz w:val="21"/>
                <w:szCs w:val="21"/>
                <w:highlight w:val="none"/>
                <w:lang w:eastAsia="zh-CN"/>
                <w14:textFill>
                  <w14:solidFill>
                    <w14:schemeClr w14:val="tx1"/>
                  </w14:solidFill>
                </w14:textFill>
              </w:rPr>
              <w:t>202</w:t>
            </w:r>
            <w:r>
              <w:rPr>
                <w:rFonts w:hint="eastAsia" w:ascii="宋体" w:hAnsi="宋体" w:cs="Times New Roman"/>
                <w:color w:val="000000" w:themeColor="text1"/>
                <w:sz w:val="21"/>
                <w:szCs w:val="21"/>
                <w:highlight w:val="none"/>
                <w:lang w:val="en-US" w:eastAsia="zh-CN"/>
                <w14:textFill>
                  <w14:solidFill>
                    <w14:schemeClr w14:val="tx1"/>
                  </w14:solidFill>
                </w14:textFill>
              </w:rPr>
              <w:t>2</w:t>
            </w:r>
            <w:r>
              <w:rPr>
                <w:rFonts w:hint="eastAsia" w:ascii="宋体" w:hAnsi="宋体" w:eastAsia="宋体" w:cs="Times New Roman"/>
                <w:color w:val="000000" w:themeColor="text1"/>
                <w:sz w:val="21"/>
                <w:szCs w:val="21"/>
                <w:highlight w:val="none"/>
                <w:lang w:eastAsia="zh-CN"/>
                <w14:textFill>
                  <w14:solidFill>
                    <w14:schemeClr w14:val="tx1"/>
                  </w14:solidFill>
                </w14:textFill>
              </w:rPr>
              <w:t>年</w:t>
            </w:r>
            <w:r>
              <w:rPr>
                <w:rFonts w:hint="eastAsia" w:ascii="宋体" w:hAnsi="宋体" w:cs="Times New Roman"/>
                <w:color w:val="000000" w:themeColor="text1"/>
                <w:sz w:val="21"/>
                <w:szCs w:val="21"/>
                <w:highlight w:val="none"/>
                <w:lang w:val="en-US" w:eastAsia="zh-CN"/>
                <w14:textFill>
                  <w14:solidFill>
                    <w14:schemeClr w14:val="tx1"/>
                  </w14:solidFill>
                </w14:textFill>
              </w:rPr>
              <w:t>6</w:t>
            </w:r>
            <w:r>
              <w:rPr>
                <w:rFonts w:hint="eastAsia" w:ascii="宋体" w:hAnsi="宋体" w:eastAsia="宋体" w:cs="Times New Roman"/>
                <w:color w:val="000000" w:themeColor="text1"/>
                <w:sz w:val="21"/>
                <w:szCs w:val="21"/>
                <w:highlight w:val="none"/>
                <w:lang w:eastAsia="zh-CN"/>
                <w14:textFill>
                  <w14:solidFill>
                    <w14:schemeClr w14:val="tx1"/>
                  </w14:solidFill>
                </w14:textFill>
              </w:rPr>
              <w:t>月</w:t>
            </w:r>
            <w:r>
              <w:rPr>
                <w:rFonts w:hint="eastAsia" w:ascii="宋体" w:hAnsi="宋体" w:cs="Times New Roman"/>
                <w:color w:val="000000" w:themeColor="text1"/>
                <w:sz w:val="21"/>
                <w:szCs w:val="21"/>
                <w:highlight w:val="none"/>
                <w:lang w:val="en-US" w:eastAsia="zh-CN"/>
                <w14:textFill>
                  <w14:solidFill>
                    <w14:schemeClr w14:val="tx1"/>
                  </w14:solidFill>
                </w14:textFill>
              </w:rPr>
              <w:t>1</w:t>
            </w:r>
            <w:r>
              <w:rPr>
                <w:rFonts w:hint="eastAsia" w:ascii="宋体" w:hAnsi="宋体" w:eastAsia="宋体" w:cs="Times New Roman"/>
                <w:color w:val="000000" w:themeColor="text1"/>
                <w:sz w:val="21"/>
                <w:szCs w:val="21"/>
                <w:highlight w:val="none"/>
                <w:lang w:eastAsia="zh-CN"/>
                <w14:textFill>
                  <w14:solidFill>
                    <w14:schemeClr w14:val="tx1"/>
                  </w14:solidFill>
                </w14:textFill>
              </w:rPr>
              <w:t>0</w:t>
            </w:r>
            <w:r>
              <w:rPr>
                <w:rFonts w:hint="eastAsia" w:ascii="宋体" w:hAnsi="宋体" w:cs="Times New Roman"/>
                <w:color w:val="000000" w:themeColor="text1"/>
                <w:sz w:val="21"/>
                <w:szCs w:val="21"/>
                <w:highlight w:val="none"/>
                <w:lang w:val="en-US" w:eastAsia="zh-CN"/>
                <w14:textFill>
                  <w14:solidFill>
                    <w14:schemeClr w14:val="tx1"/>
                  </w14:solidFill>
                </w14:textFill>
              </w:rPr>
              <w:t>-11</w:t>
            </w:r>
            <w:r>
              <w:rPr>
                <w:rFonts w:hint="eastAsia" w:ascii="宋体" w:hAnsi="宋体" w:eastAsia="宋体" w:cs="Times New Roman"/>
                <w:color w:val="000000" w:themeColor="text1"/>
                <w:sz w:val="21"/>
                <w:szCs w:val="21"/>
                <w:highlight w:val="none"/>
                <w:lang w:eastAsia="zh-CN"/>
                <w14:textFill>
                  <w14:solidFill>
                    <w14:schemeClr w14:val="tx1"/>
                  </w14:solidFill>
                </w14:textFill>
              </w:rPr>
              <w:t>日</w:t>
            </w:r>
            <w:r>
              <w:rPr>
                <w:rFonts w:hint="eastAsia"/>
                <w:color w:val="000000" w:themeColor="text1"/>
                <w:highlight w:val="none"/>
                <w14:textFill>
                  <w14:solidFill>
                    <w14:schemeClr w14:val="tx1"/>
                  </w14:solidFill>
                </w14:textFill>
              </w:rPr>
              <w:t>实施了环境管理体系内部审核，对环境管理体系的符合性和有效性进行了审核。内审发现的</w:t>
            </w:r>
            <w:r>
              <w:rPr>
                <w:rFonts w:hint="eastAsia"/>
                <w:color w:val="000000" w:themeColor="text1"/>
                <w:highlight w:val="none"/>
                <w:u w:val="single"/>
                <w14:textFill>
                  <w14:solidFill>
                    <w14:schemeClr w14:val="tx1"/>
                  </w14:solidFill>
                </w14:textFill>
              </w:rPr>
              <w:t xml:space="preserve"> 1项</w:t>
            </w:r>
            <w:r>
              <w:rPr>
                <w:rFonts w:hint="eastAsia"/>
                <w:color w:val="000000" w:themeColor="text1"/>
                <w:highlight w:val="none"/>
                <w14:textFill>
                  <w14:solidFill>
                    <w14:schemeClr w14:val="tx1"/>
                  </w14:solidFill>
                </w14:textFill>
              </w:rPr>
              <w:t>不符合</w:t>
            </w:r>
            <w:r>
              <w:rPr>
                <w:rFonts w:hint="eastAsia"/>
              </w:rPr>
              <w:t>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□内审贯穿了多场所</w:t>
            </w:r>
            <w:r>
              <w:rPr>
                <w:rFonts w:ascii="Wingdings" w:hAnsi="Wingdings"/>
              </w:rPr>
              <w:t></w:t>
            </w:r>
            <w:r>
              <w:rPr>
                <w:rFonts w:hint="eastAsia" w:ascii="Wingdings" w:hAnsi="Wingdings"/>
              </w:rPr>
              <w:t>临时现场</w:t>
            </w:r>
            <w:r>
              <w:rPr>
                <w:rFonts w:hint="eastAsia"/>
              </w:rPr>
              <w:t>，内审的验证结论是正面的。管理者代表相应的职权覆盖了所有的场所。）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ascii="宋体" w:hAnsi="宋体" w:eastAsia="宋体" w:cs="宋体"/>
                <w:color w:val="00B0F0"/>
                <w:sz w:val="21"/>
                <w:szCs w:val="21"/>
                <w:lang w:eastAsia="zh-CN" w:bidi="ar"/>
              </w:rPr>
              <w:t>20</w:t>
            </w:r>
            <w:r>
              <w:rPr>
                <w:rFonts w:hint="eastAsia" w:ascii="宋体" w:hAnsi="宋体" w:eastAsia="宋体" w:cs="宋体"/>
                <w:color w:val="00B0F0"/>
                <w:sz w:val="21"/>
                <w:szCs w:val="21"/>
                <w:lang w:val="en-US" w:eastAsia="zh-CN" w:bidi="ar"/>
              </w:rPr>
              <w:t>2</w:t>
            </w:r>
            <w:r>
              <w:rPr>
                <w:rFonts w:hint="eastAsia" w:ascii="宋体" w:hAnsi="宋体" w:cs="宋体"/>
                <w:color w:val="00B0F0"/>
                <w:sz w:val="21"/>
                <w:szCs w:val="21"/>
                <w:lang w:val="en-US" w:eastAsia="zh-CN" w:bidi="ar"/>
              </w:rPr>
              <w:t>2</w:t>
            </w:r>
            <w:r>
              <w:rPr>
                <w:rFonts w:hint="eastAsia" w:ascii="宋体" w:hAnsi="宋体" w:eastAsia="宋体" w:cs="宋体"/>
                <w:color w:val="00B0F0"/>
                <w:sz w:val="21"/>
                <w:szCs w:val="21"/>
                <w:lang w:bidi="ar"/>
              </w:rPr>
              <w:t>年</w:t>
            </w:r>
            <w:r>
              <w:rPr>
                <w:rFonts w:hint="eastAsia" w:ascii="宋体" w:hAnsi="宋体" w:cs="宋体"/>
                <w:color w:val="00B0F0"/>
                <w:sz w:val="21"/>
                <w:szCs w:val="21"/>
                <w:lang w:val="en-US" w:eastAsia="zh-CN" w:bidi="ar"/>
              </w:rPr>
              <w:t>7</w:t>
            </w:r>
            <w:r>
              <w:rPr>
                <w:rFonts w:hint="eastAsia" w:ascii="宋体" w:hAnsi="宋体" w:eastAsia="宋体" w:cs="宋体"/>
                <w:color w:val="00B0F0"/>
                <w:sz w:val="21"/>
                <w:szCs w:val="21"/>
                <w:lang w:bidi="ar"/>
              </w:rPr>
              <w:t>月</w:t>
            </w:r>
            <w:r>
              <w:rPr>
                <w:rFonts w:hint="eastAsia" w:ascii="宋体" w:hAnsi="宋体" w:cs="宋体"/>
                <w:color w:val="00B0F0"/>
                <w:sz w:val="21"/>
                <w:szCs w:val="21"/>
                <w:lang w:val="en-US" w:eastAsia="zh-CN" w:bidi="ar"/>
              </w:rPr>
              <w:t>10</w:t>
            </w:r>
            <w:r>
              <w:rPr>
                <w:rFonts w:hint="eastAsia" w:ascii="宋体" w:hAnsi="宋体" w:eastAsia="宋体" w:cs="宋体"/>
                <w:color w:val="00B0F0"/>
                <w:sz w:val="21"/>
                <w:szCs w:val="21"/>
                <w:lang w:bidi="ar"/>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rPr>
              <w:t xml:space="preserve">■不合格产品/服务 □自我验证的结果  ■顾客投诉  ■顾客满意调查 </w:t>
            </w:r>
          </w:p>
          <w:p>
            <w:pPr>
              <w:shd w:val="clear" w:color="auto" w:fill="EBF1DE" w:themeFill="accent3" w:themeFillTint="32"/>
            </w:pPr>
            <w:r>
              <w:rPr>
                <w:rFonts w:hint="eastAsia"/>
              </w:rPr>
              <w:t xml:space="preserve">■内审不符合项   </w:t>
            </w:r>
            <w:r>
              <w:rPr>
                <w:rFonts w:hint="eastAsia" w:ascii="宋体" w:hAnsi="宋体" w:cs="宋体"/>
              </w:rPr>
              <w:t>■</w:t>
            </w:r>
            <w:r>
              <w:rPr>
                <w:rFonts w:hint="eastAsia"/>
              </w:rPr>
              <w:t xml:space="preserve">外审不符合项  ■管理评审   </w:t>
            </w:r>
            <w:r>
              <w:rPr>
                <w:rFonts w:hint="eastAsia" w:ascii="宋体" w:hAnsi="宋体" w:cs="宋体"/>
              </w:rPr>
              <w:t>■</w:t>
            </w:r>
            <w:r>
              <w:rPr>
                <w:rFonts w:hint="eastAsia"/>
              </w:rPr>
              <w:t>目标统计分析结果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rPr>
          <w:rFonts w:eastAsia="微软雅黑"/>
        </w:rPr>
      </w:pPr>
      <w:r>
        <w:tab/>
      </w:r>
      <w:r>
        <w:tab/>
      </w:r>
      <w:r>
        <w:t>4 = 不适用</w:t>
      </w:r>
      <w:bookmarkStart w:id="34" w:name="_GoBack"/>
      <w:bookmarkEnd w:id="3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2Y2I4MGM4MDY5MTkxYTc1OWQ2YWJkMDM4MmZjZTIifQ=="/>
  </w:docVars>
  <w:rsids>
    <w:rsidRoot w:val="00000000"/>
    <w:rsid w:val="147B5B84"/>
    <w:rsid w:val="44066E6A"/>
    <w:rsid w:val="67E06660"/>
    <w:rsid w:val="6C166B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8435</Words>
  <Characters>8983</Characters>
  <Lines>150</Lines>
  <Paragraphs>42</Paragraphs>
  <TotalTime>1</TotalTime>
  <ScaleCrop>false</ScaleCrop>
  <LinksUpToDate>false</LinksUpToDate>
  <CharactersWithSpaces>10070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2022-07-30T04:34:54Z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2052-11.1.0.11875</vt:lpwstr>
  </property>
</Properties>
</file>