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684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875"/>
        <w:gridCol w:w="12"/>
        <w:gridCol w:w="1232"/>
        <w:gridCol w:w="740"/>
        <w:gridCol w:w="6"/>
        <w:gridCol w:w="9260"/>
        <w:gridCol w:w="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97" w:type="dxa"/>
            <w:gridSpan w:val="3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6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主要负责人：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刘鼎   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左志辉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97" w:type="dxa"/>
            <w:gridSpan w:val="3"/>
            <w:vMerge w:val="continue"/>
            <w:vAlign w:val="center"/>
          </w:tcPr>
          <w:p/>
        </w:tc>
        <w:tc>
          <w:tcPr>
            <w:tcW w:w="1232" w:type="dxa"/>
            <w:vMerge w:val="continue"/>
            <w:vAlign w:val="center"/>
          </w:tcPr>
          <w:p/>
        </w:tc>
        <w:tc>
          <w:tcPr>
            <w:tcW w:w="10006" w:type="dxa"/>
            <w:gridSpan w:val="3"/>
            <w:vAlign w:val="center"/>
          </w:tcPr>
          <w:p>
            <w:pPr>
              <w:spacing w:before="12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张静（远程，腾讯会议/QQ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审核日期：20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2-09-02</w:t>
            </w:r>
          </w:p>
        </w:tc>
        <w:tc>
          <w:tcPr>
            <w:tcW w:w="154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897" w:type="dxa"/>
            <w:gridSpan w:val="3"/>
            <w:vMerge w:val="continue"/>
            <w:vAlign w:val="center"/>
          </w:tcPr>
          <w:p/>
        </w:tc>
        <w:tc>
          <w:tcPr>
            <w:tcW w:w="1232" w:type="dxa"/>
            <w:vMerge w:val="continue"/>
            <w:vAlign w:val="center"/>
          </w:tcPr>
          <w:p/>
        </w:tc>
        <w:tc>
          <w:tcPr>
            <w:tcW w:w="10006" w:type="dxa"/>
            <w:gridSpan w:val="3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审核条款：</w:t>
            </w:r>
          </w:p>
          <w:p>
            <w:pPr>
              <w:pStyle w:val="12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E:5.3/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highlight w:val="none"/>
                <w:lang w:eastAsia="zh-CN"/>
              </w:rPr>
              <w:t>.1.2/6.1.4/6.2/</w:t>
            </w:r>
            <w:r>
              <w:rPr>
                <w:rFonts w:hint="eastAsia"/>
                <w:highlight w:val="none"/>
                <w:lang w:val="en-US" w:eastAsia="zh-CN"/>
              </w:rPr>
              <w:t>7.4/</w:t>
            </w:r>
            <w:r>
              <w:rPr>
                <w:rFonts w:hint="eastAsia"/>
                <w:highlight w:val="none"/>
                <w:lang w:eastAsia="zh-CN"/>
              </w:rPr>
              <w:t>8.1/8.2</w:t>
            </w:r>
          </w:p>
          <w:p>
            <w:pPr>
              <w:pStyle w:val="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highlight w:val="none"/>
                <w:lang w:eastAsia="zh-CN"/>
              </w:rPr>
              <w:t>:5.3/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highlight w:val="none"/>
                <w:lang w:eastAsia="zh-CN"/>
              </w:rPr>
              <w:t>.1.2/6.1.4/6.2/</w:t>
            </w:r>
            <w:r>
              <w:rPr>
                <w:rFonts w:hint="eastAsia"/>
                <w:highlight w:val="none"/>
                <w:lang w:val="en-US" w:eastAsia="zh-CN"/>
              </w:rPr>
              <w:t>7.4/</w:t>
            </w:r>
            <w:r>
              <w:rPr>
                <w:rFonts w:hint="eastAsia"/>
                <w:highlight w:val="none"/>
                <w:lang w:eastAsia="zh-CN"/>
              </w:rPr>
              <w:t>8.1/8.2</w:t>
            </w:r>
          </w:p>
        </w:tc>
        <w:tc>
          <w:tcPr>
            <w:tcW w:w="154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7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123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E5.3</w:t>
            </w:r>
          </w:p>
          <w:p>
            <w:pPr>
              <w:pStyle w:val="8"/>
              <w:ind w:left="0"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O5.3</w:t>
            </w:r>
          </w:p>
          <w:p>
            <w:pPr>
              <w:pStyle w:val="8"/>
              <w:ind w:left="0" w:leftChars="0" w:firstLine="0" w:firstLineChars="0"/>
            </w:pPr>
          </w:p>
        </w:tc>
        <w:tc>
          <w:tcPr>
            <w:tcW w:w="74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897" w:type="dxa"/>
            <w:gridSpan w:val="3"/>
            <w:vMerge w:val="continue"/>
            <w:shd w:val="clear" w:color="auto" w:fill="auto"/>
          </w:tcPr>
          <w:p/>
        </w:tc>
        <w:tc>
          <w:tcPr>
            <w:tcW w:w="1232" w:type="dxa"/>
            <w:vMerge w:val="continue"/>
            <w:shd w:val="clear" w:color="auto" w:fill="auto"/>
          </w:tcPr>
          <w:p/>
        </w:tc>
        <w:tc>
          <w:tcPr>
            <w:tcW w:w="74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0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</w:t>
            </w:r>
            <w:r>
              <w:rPr>
                <w:rFonts w:hint="eastAsia"/>
                <w:lang w:val="en-US" w:eastAsia="zh-CN"/>
              </w:rPr>
              <w:t>客户订单的</w:t>
            </w:r>
            <w:r>
              <w:rPr>
                <w:rFonts w:hint="eastAsia"/>
              </w:rPr>
              <w:t>确认、评审、接受客户订单；</w:t>
            </w:r>
            <w:r>
              <w:rPr>
                <w:rFonts w:hint="eastAsia"/>
                <w:lang w:val="en-US" w:eastAsia="zh-CN"/>
              </w:rPr>
              <w:t>负责产品的市场开发和销售工作，产品交付活动以及交付后活动的沟通，</w:t>
            </w:r>
            <w:r>
              <w:rPr>
                <w:rFonts w:hint="eastAsia"/>
                <w:highlight w:val="none"/>
              </w:rPr>
              <w:t>负责顾客满意度调查、顾客抱怨投诉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参与应急演练、撤回召回演练、负责告知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环境和安全对顾客的影响等工作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7" w:type="dxa"/>
            <w:gridSpan w:val="3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/>
        </w:tc>
        <w:tc>
          <w:tcPr>
            <w:tcW w:w="123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E6.2</w:t>
            </w:r>
          </w:p>
          <w:p>
            <w:pPr>
              <w:pStyle w:val="8"/>
              <w:ind w:left="0"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hint="eastAsia" w:ascii="Times New Roman" w:hAnsi="Times New Roman"/>
                <w:sz w:val="18"/>
                <w:szCs w:val="18"/>
              </w:rPr>
              <w:t>6.2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《环境、职业健康安全目标考核记录》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97" w:type="dxa"/>
            <w:gridSpan w:val="3"/>
            <w:vMerge w:val="continue"/>
            <w:shd w:val="clear" w:color="auto" w:fill="auto"/>
          </w:tcPr>
          <w:p/>
        </w:tc>
        <w:tc>
          <w:tcPr>
            <w:tcW w:w="1232" w:type="dxa"/>
            <w:vMerge w:val="continue"/>
            <w:shd w:val="clear" w:color="auto" w:fill="auto"/>
          </w:tcPr>
          <w:p/>
        </w:tc>
        <w:tc>
          <w:tcPr>
            <w:tcW w:w="74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0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</w:rPr>
              <w:t>目标分解到本部门的实现情况的评价及其测量方法如下：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5"/>
              <w:gridCol w:w="1110"/>
              <w:gridCol w:w="3164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本部门管理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考核频率</w:t>
                  </w:r>
                </w:p>
              </w:tc>
              <w:tc>
                <w:tcPr>
                  <w:tcW w:w="316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eastAsia="zh-CN"/>
                    </w:rPr>
                    <w:t>2021.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eastAsia="zh-CN"/>
                    </w:rPr>
                    <w:t>-2022.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固体废弃物100%分类，合理处理；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164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垃圾分类数量/总数量X100%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环境污染事故发生率为零；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164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实际发生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 xml:space="preserve">各类重伤以上事故发生率为零； 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164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按实际发生次数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火灾事故发生率为零。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164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按实际发生次数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无发生人员感染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164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按实际发生次数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rPr>
                <w:rFonts w:hint="default"/>
                <w:lang w:val="en-US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val="en-US" w:eastAsia="zh-CN"/>
              </w:rPr>
              <w:t xml:space="preserve">，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43" w:hRule="atLeast"/>
        </w:trPr>
        <w:tc>
          <w:tcPr>
            <w:tcW w:w="188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123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41" w:hRule="atLeast"/>
        </w:trPr>
        <w:tc>
          <w:tcPr>
            <w:tcW w:w="1887" w:type="dxa"/>
            <w:gridSpan w:val="2"/>
            <w:vMerge w:val="continue"/>
            <w:shd w:val="clear" w:color="auto" w:fill="auto"/>
          </w:tcPr>
          <w:p/>
        </w:tc>
        <w:tc>
          <w:tcPr>
            <w:tcW w:w="1232" w:type="dxa"/>
            <w:vMerge w:val="continue"/>
            <w:shd w:val="clear" w:color="auto" w:fill="auto"/>
          </w:tcPr>
          <w:p/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查看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《环境因素识别评价表》、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《重要环境因素清单》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消防设施、日常检查、定期检测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节能降耗</w:t>
                  </w:r>
                </w:p>
              </w:tc>
              <w:tc>
                <w:tcPr>
                  <w:tcW w:w="246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节约用电；控制空调温度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 w:ascii="宋体" w:hAnsi="宋体" w:cs="宋体"/>
                      <w:sz w:val="22"/>
                      <w:szCs w:val="22"/>
                    </w:rPr>
                    <w:t>固体废弃物处理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垃圾分类管理，交由维修方处置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管理方案/运行控制</w:t>
                  </w:r>
                </w:p>
              </w:tc>
            </w:tr>
          </w:tbl>
          <w:p/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43" w:hRule="atLeast"/>
        </w:trPr>
        <w:tc>
          <w:tcPr>
            <w:tcW w:w="187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124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O6.1.2</w:t>
            </w:r>
          </w:p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szCs w:val="21"/>
              </w:rPr>
              <w:t xml:space="preserve">6.1 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1136" w:hRule="atLeast"/>
        </w:trPr>
        <w:tc>
          <w:tcPr>
            <w:tcW w:w="1875" w:type="dxa"/>
            <w:vMerge w:val="continue"/>
            <w:shd w:val="clear" w:color="auto" w:fill="auto"/>
          </w:tcPr>
          <w:p/>
        </w:tc>
        <w:tc>
          <w:tcPr>
            <w:tcW w:w="1244" w:type="dxa"/>
            <w:gridSpan w:val="2"/>
            <w:vMerge w:val="continue"/>
            <w:shd w:val="clear" w:color="auto" w:fill="auto"/>
          </w:tcPr>
          <w:p/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本部门的主要危险源包括：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物体打击 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车辆撞人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烫伤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中暑  </w:t>
            </w:r>
            <w:r>
              <w:rPr/>
              <w:sym w:font="Wingdings" w:char="00A8"/>
            </w:r>
            <w:r>
              <w:rPr>
                <w:rFonts w:hint="eastAsia"/>
              </w:rPr>
              <w:t>冻伤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噪声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评价不可接受风险的准则：《</w:t>
            </w:r>
            <w:r>
              <w:rPr>
                <w:rFonts w:hint="eastAsia"/>
                <w:szCs w:val="22"/>
              </w:rPr>
              <w:t>危险源辨识和风险评价控制程序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u w:val="single"/>
              </w:rPr>
              <w:t xml:space="preserve">LEC法  </w:t>
            </w:r>
          </w:p>
          <w:p>
            <w:r>
              <w:rPr>
                <w:rFonts w:hint="eastAsia"/>
                <w:b/>
                <w:bCs/>
              </w:rPr>
              <w:t>重要危险源，及其控制措施是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841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084"/>
              <w:gridCol w:w="46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重要危险源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职业健康安全风险</w:t>
                  </w:r>
                </w:p>
              </w:tc>
              <w:tc>
                <w:tcPr>
                  <w:tcW w:w="469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火灾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</w:rPr>
                    <w:t>烧伤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消防设施、日常检查、定期检测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交通事故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碾压伤、撞击伤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继续交通安全教育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触电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电击伤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安装漏电保护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新冠疫情感染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疾病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专人管理</w:t>
                  </w:r>
                </w:p>
              </w:tc>
            </w:tr>
          </w:tbl>
          <w:p/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43" w:hRule="atLeast"/>
        </w:trPr>
        <w:tc>
          <w:tcPr>
            <w:tcW w:w="1875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124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EO6.1.4</w:t>
            </w:r>
          </w:p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7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《管理方案》</w:t>
            </w:r>
          </w:p>
        </w:tc>
        <w:tc>
          <w:tcPr>
            <w:tcW w:w="154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2" w:hRule="atLeast"/>
        </w:trPr>
        <w:tc>
          <w:tcPr>
            <w:tcW w:w="1875" w:type="dxa"/>
            <w:vMerge w:val="continue"/>
            <w:shd w:val="clear" w:color="auto" w:fill="auto"/>
          </w:tcPr>
          <w:p/>
        </w:tc>
        <w:tc>
          <w:tcPr>
            <w:tcW w:w="1244" w:type="dxa"/>
            <w:gridSpan w:val="2"/>
            <w:vMerge w:val="continue"/>
            <w:shd w:val="clear" w:color="auto" w:fill="auto"/>
          </w:tcPr>
          <w:p/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72" w:type="dxa"/>
            <w:gridSpan w:val="3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8"/>
              <w:gridCol w:w="1728"/>
              <w:gridCol w:w="3890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389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r>
                    <w:rPr>
                      <w:rFonts w:hint="eastAsia"/>
                      <w:lang w:val="en-US" w:eastAsia="zh-CN"/>
                    </w:rPr>
                    <w:t>节能降耗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节约用电；控制空调温度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2"/>
                      <w:szCs w:val="22"/>
                    </w:rPr>
                    <w:t>固体废弃物处理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垃圾分类管理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不发生火灾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重要环境因素、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不可接受风险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消防设施、日常检查、定期检测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应急演练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4" w:hRule="atLeast"/>
              </w:trPr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触电事故为零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不可接受风险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使用过电保护器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意外伤害为零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不可接受风险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对员工进行交通安全的教育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/>
        </w:tc>
        <w:tc>
          <w:tcPr>
            <w:tcW w:w="154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13" w:hRule="atLeast"/>
        </w:trPr>
        <w:tc>
          <w:tcPr>
            <w:tcW w:w="1875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内外部沟通</w:t>
            </w:r>
          </w:p>
        </w:tc>
        <w:tc>
          <w:tcPr>
            <w:tcW w:w="1244" w:type="dxa"/>
            <w:gridSpan w:val="2"/>
            <w:vMerge w:val="restart"/>
            <w:shd w:val="clear" w:color="auto" w:fill="auto"/>
          </w:tcPr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E7.4</w:t>
            </w:r>
          </w:p>
          <w:p>
            <w:r>
              <w:rPr>
                <w:rFonts w:hint="eastAsia"/>
                <w:lang w:val="en-US" w:eastAsia="zh-CN"/>
              </w:rPr>
              <w:t>O7.4</w:t>
            </w:r>
          </w:p>
        </w:tc>
        <w:tc>
          <w:tcPr>
            <w:tcW w:w="740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pPr>
              <w:pStyle w:val="2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手册第7.4条款、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《沟通控制程序》</w:t>
            </w:r>
          </w:p>
        </w:tc>
        <w:tc>
          <w:tcPr>
            <w:tcW w:w="1549" w:type="dxa"/>
            <w:gridSpan w:val="2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12" w:hRule="atLeast"/>
        </w:trPr>
        <w:tc>
          <w:tcPr>
            <w:tcW w:w="1875" w:type="dxa"/>
            <w:vMerge w:val="continue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44" w:type="dxa"/>
            <w:gridSpan w:val="2"/>
            <w:vMerge w:val="continue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0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pPr>
              <w:pStyle w:val="2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" w:hRule="atLeast"/>
        </w:trPr>
        <w:tc>
          <w:tcPr>
            <w:tcW w:w="1875" w:type="dxa"/>
            <w:vMerge w:val="continue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44" w:type="dxa"/>
            <w:gridSpan w:val="2"/>
            <w:vMerge w:val="continue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0" w:type="dxa"/>
            <w:vMerge w:val="continue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9266" w:type="dxa"/>
            <w:gridSpan w:val="2"/>
            <w:vMerge w:val="restart"/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MSDS的传递：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1.由供方提供油漆和涂料的MSDS；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2.抽查油漆和涂料的MSDS；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抽查</w:t>
            </w:r>
            <w:r>
              <w:rPr>
                <w:rFonts w:hint="eastAsia" w:ascii="宋体" w:hAnsi="宋体"/>
                <w:color w:val="0000FF"/>
                <w:sz w:val="21"/>
                <w:szCs w:val="21"/>
                <w:lang w:val="en-US" w:eastAsia="zh-CN"/>
              </w:rPr>
              <w:t>防锈底漆、CH-C 醇酸漆、CH-HT600 高温防护漆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的MSDS，内容共16项，包括化学品及企业标识、成分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组成信息、危险性概述、急救措施、消防措施、泄漏应急处理、操作处置与储存、接触控制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个人防护、废弃处置等内容符合GB/T 16483-2008《化学品安全技术说明书　内容和项目顺序》的要求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抽查</w:t>
            </w:r>
            <w:r>
              <w:rPr>
                <w:rFonts w:hint="eastAsia" w:ascii="宋体" w:hAnsi="宋体"/>
                <w:color w:val="0000FF"/>
                <w:sz w:val="21"/>
                <w:szCs w:val="21"/>
                <w:lang w:val="en-US" w:eastAsia="zh-CN"/>
              </w:rPr>
              <w:t>丙烯酸聚氨酯涂料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的MSDS，内容共16项，包括化学品及企业标识、成分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组成信息、危险性概述、急救措施、消防措施、泄漏应急处理、操作处置与储存、接触控制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个人防护、废弃处置等符合GB/T 16483-2008《化学品安全技术说明书　内容和项目顺序》的要求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drawing>
                <wp:inline distT="0" distB="0" distL="114300" distR="114300">
                  <wp:extent cx="2766060" cy="1664970"/>
                  <wp:effectExtent l="0" t="0" r="7620" b="1143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060" cy="166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drawing>
                <wp:inline distT="0" distB="0" distL="114300" distR="114300">
                  <wp:extent cx="2449830" cy="1644650"/>
                  <wp:effectExtent l="0" t="0" r="3810" b="127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16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3在油漆和涂料交付时将MSDS一同交给顾客。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58" w:hRule="atLeast"/>
        </w:trPr>
        <w:tc>
          <w:tcPr>
            <w:tcW w:w="1875" w:type="dxa"/>
            <w:vMerge w:val="continue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44" w:type="dxa"/>
            <w:gridSpan w:val="2"/>
            <w:vMerge w:val="continue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0" w:type="dxa"/>
            <w:vMerge w:val="continue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9266" w:type="dxa"/>
            <w:gridSpan w:val="2"/>
            <w:vMerge w:val="continue"/>
            <w:shd w:val="clear" w:color="auto" w:fill="auto"/>
          </w:tcPr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58" w:hRule="atLeast"/>
        </w:trPr>
        <w:tc>
          <w:tcPr>
            <w:tcW w:w="1875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对顾客的告知和产品交付</w:t>
            </w:r>
          </w:p>
        </w:tc>
        <w:tc>
          <w:tcPr>
            <w:tcW w:w="124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</w:tc>
        <w:tc>
          <w:tcPr>
            <w:tcW w:w="74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266" w:type="dxa"/>
            <w:gridSpan w:val="2"/>
            <w:shd w:val="clear" w:color="auto" w:fill="auto"/>
            <w:vAlign w:val="top"/>
          </w:tcPr>
          <w:p>
            <w:pPr>
              <w:pStyle w:val="12"/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在签订销售合同的同时，将《环境和职业健康安全告知书》做为合同的附件交给顾客。</w:t>
            </w:r>
          </w:p>
          <w:p>
            <w:pPr>
              <w:pStyle w:val="12"/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drawing>
                <wp:inline distT="0" distB="0" distL="114300" distR="114300">
                  <wp:extent cx="2421890" cy="2180590"/>
                  <wp:effectExtent l="0" t="0" r="1270" b="1397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890" cy="218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616200" cy="2061210"/>
                  <wp:effectExtent l="0" t="0" r="5080" b="1143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06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该公司对产品见证了VOC的检测，检测报告号WT2020B01A05864，结论：VOC含量合格</w:t>
            </w:r>
          </w:p>
          <w:p>
            <w:pPr>
              <w:pStyle w:val="12"/>
              <w:rPr>
                <w:rFonts w:hint="default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drawing>
                <wp:inline distT="0" distB="0" distL="114300" distR="114300">
                  <wp:extent cx="1509395" cy="2186305"/>
                  <wp:effectExtent l="0" t="0" r="14605" b="8255"/>
                  <wp:docPr id="1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395" cy="218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drawing>
                <wp:inline distT="0" distB="0" distL="114300" distR="114300">
                  <wp:extent cx="1720850" cy="2190115"/>
                  <wp:effectExtent l="0" t="0" r="1270" b="4445"/>
                  <wp:docPr id="1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2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1549" w:type="dxa"/>
            <w:gridSpan w:val="2"/>
            <w:shd w:val="clear" w:color="auto" w:fill="auto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2" w:hRule="atLeast"/>
        </w:trPr>
        <w:tc>
          <w:tcPr>
            <w:tcW w:w="1875" w:type="dxa"/>
            <w:vMerge w:val="restart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lang w:val="en-US" w:eastAsia="zh-CN"/>
              </w:rPr>
              <w:t>EHS运行</w:t>
            </w:r>
          </w:p>
        </w:tc>
        <w:tc>
          <w:tcPr>
            <w:tcW w:w="1244" w:type="dxa"/>
            <w:gridSpan w:val="2"/>
            <w:vMerge w:val="restart"/>
            <w:shd w:val="clear" w:color="auto" w:fill="auto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E8.1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>
            <w:pPr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szCs w:val="22"/>
                <w:lang w:val="en-US" w:eastAsia="zh-CN"/>
              </w:rPr>
              <w:t>如：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管理手册8.1条款、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《环境运行控制程序》、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《水电管理制度》、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《固体废弃物管理制度》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2" w:hRule="atLeast"/>
        </w:trPr>
        <w:tc>
          <w:tcPr>
            <w:tcW w:w="1875" w:type="dxa"/>
            <w:vMerge w:val="continue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44" w:type="dxa"/>
            <w:gridSpan w:val="2"/>
            <w:vMerge w:val="continue"/>
            <w:shd w:val="clear" w:color="auto" w:fill="auto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pPr>
              <w:pStyle w:val="1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1.节约用电的控制：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随手关灯、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下班前关闭电源、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控制空调温度（夏季≥26℃；冬季≤20℃）</w:t>
            </w:r>
          </w:p>
          <w:p>
            <w:pPr>
              <w:pStyle w:val="1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2.节约用水的控制：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随手关水龙头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使用节水龙头及马桶</w:t>
            </w:r>
          </w:p>
          <w:p>
            <w:pPr>
              <w:pStyle w:val="12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1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3.节约用纸的控制：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纸张双面使用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尽量采用电子版文件</w:t>
            </w:r>
          </w:p>
          <w:p>
            <w:pPr>
              <w:pStyle w:val="1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4.本部门危险废弃物的管理：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将墨盒、硒鼓交办公室集中由第三方处理</w:t>
            </w:r>
          </w:p>
          <w:p>
            <w:pPr>
              <w:pStyle w:val="1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5.外来人员的安全管理：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进行安全告知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陪同参观</w:t>
            </w:r>
          </w:p>
          <w:p>
            <w:pPr>
              <w:pStyle w:val="12"/>
              <w:rPr>
                <w:rFonts w:hint="default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6.外出人员的安全管理：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进行安全教育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配备个人安全专职</w:t>
            </w:r>
          </w:p>
          <w:p>
            <w:pPr>
              <w:pStyle w:val="1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1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7.消防的管理：定期检查附近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灭火器和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消防栓；</w:t>
            </w:r>
          </w:p>
          <w:p>
            <w:pPr>
              <w:pStyle w:val="1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8.环境和安全对顾客的影响：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签订EHS协议/环境和安全告知书</w:t>
            </w:r>
          </w:p>
          <w:p>
            <w:pPr>
              <w:pStyle w:val="1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2"/>
              <w:numPr>
                <w:ilvl w:val="0"/>
                <w:numId w:val="0"/>
              </w:numPr>
              <w:rPr>
                <w:highlight w:val="yellow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9.原辅料MSDS的传递：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纸质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电子版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产品标签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不适用</w:t>
            </w:r>
          </w:p>
        </w:tc>
        <w:tc>
          <w:tcPr>
            <w:tcW w:w="1549" w:type="dxa"/>
            <w:gridSpan w:val="2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08" w:hRule="atLeast"/>
        </w:trPr>
        <w:tc>
          <w:tcPr>
            <w:tcW w:w="187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1244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EO8.2</w:t>
            </w:r>
          </w:p>
          <w:p>
            <w:pPr>
              <w:pStyle w:val="12"/>
            </w:pPr>
          </w:p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pPr>
              <w:rPr>
                <w:color w:val="1D41D5"/>
              </w:rPr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/>
              <w:sym w:font="Wingdings" w:char="00FE"/>
            </w:r>
            <w:r>
              <w:rPr>
                <w:rFonts w:hint="eastAsia"/>
              </w:rPr>
              <w:t>各类应急预案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08" w:hRule="atLeast"/>
        </w:trPr>
        <w:tc>
          <w:tcPr>
            <w:tcW w:w="1875" w:type="dxa"/>
            <w:vMerge w:val="continue"/>
            <w:shd w:val="clear" w:color="auto" w:fill="auto"/>
          </w:tcPr>
          <w:p/>
        </w:tc>
        <w:tc>
          <w:tcPr>
            <w:tcW w:w="1244" w:type="dxa"/>
            <w:gridSpan w:val="2"/>
            <w:vMerge w:val="continue"/>
            <w:shd w:val="clear" w:color="auto" w:fill="auto"/>
          </w:tcPr>
          <w:p/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2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经沟通了解本部门未发生撤回召回、应急情况，参加公司组织的应急演练，</w:t>
            </w:r>
            <w:r>
              <w:rPr>
                <w:rFonts w:hint="eastAsia"/>
                <w:color w:val="0000FF"/>
                <w:lang w:val="en-US" w:eastAsia="zh-CN"/>
              </w:rPr>
              <w:t>见“综合部审核记录”</w:t>
            </w:r>
          </w:p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041"/>
              <w:gridCol w:w="2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性质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相应预案名称</w:t>
                  </w: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pStyle w:val="8"/>
                    <w:ind w:left="0" w:firstLine="0" w:firstLineChars="0"/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pStyle w:val="8"/>
                    <w:ind w:left="0" w:firstLine="0" w:firstLineChars="0"/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未实施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不涉及</w:t>
            </w:r>
          </w:p>
          <w:p>
            <w:pPr>
              <w:pStyle w:val="8"/>
            </w:pPr>
          </w:p>
          <w:p>
            <w:pPr>
              <w:rPr>
                <w:color w:val="1D41D5"/>
              </w:rPr>
            </w:pPr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</w:tbl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25450" cy="428625"/>
          <wp:effectExtent l="0" t="0" r="6350" b="317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5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DF208"/>
    <w:multiLevelType w:val="singleLevel"/>
    <w:tmpl w:val="346DF20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DgzNTgzOGI2YTcxNDk1Yjk2MGUwMDM3N2Y3MmIifQ=="/>
  </w:docVars>
  <w:rsids>
    <w:rsidRoot w:val="009973B4"/>
    <w:rsid w:val="000237F6"/>
    <w:rsid w:val="0003373A"/>
    <w:rsid w:val="000400E2"/>
    <w:rsid w:val="00054988"/>
    <w:rsid w:val="00062E46"/>
    <w:rsid w:val="00071522"/>
    <w:rsid w:val="00073A25"/>
    <w:rsid w:val="000A4138"/>
    <w:rsid w:val="000E6B21"/>
    <w:rsid w:val="00161E82"/>
    <w:rsid w:val="00171904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2BC3"/>
    <w:rsid w:val="003B4966"/>
    <w:rsid w:val="003C5523"/>
    <w:rsid w:val="003E693C"/>
    <w:rsid w:val="00410914"/>
    <w:rsid w:val="00417D46"/>
    <w:rsid w:val="00423D3B"/>
    <w:rsid w:val="0045323B"/>
    <w:rsid w:val="00474F25"/>
    <w:rsid w:val="0048201E"/>
    <w:rsid w:val="004D0382"/>
    <w:rsid w:val="005223A0"/>
    <w:rsid w:val="00536930"/>
    <w:rsid w:val="00564E53"/>
    <w:rsid w:val="0056561D"/>
    <w:rsid w:val="005D5659"/>
    <w:rsid w:val="005F3037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77105"/>
    <w:rsid w:val="0079152F"/>
    <w:rsid w:val="007C1B48"/>
    <w:rsid w:val="007E3B15"/>
    <w:rsid w:val="007E52E7"/>
    <w:rsid w:val="007E6AEB"/>
    <w:rsid w:val="007F0B9E"/>
    <w:rsid w:val="00834771"/>
    <w:rsid w:val="008606F7"/>
    <w:rsid w:val="008638BA"/>
    <w:rsid w:val="008973EE"/>
    <w:rsid w:val="008E71AB"/>
    <w:rsid w:val="0092185F"/>
    <w:rsid w:val="00971600"/>
    <w:rsid w:val="009973B4"/>
    <w:rsid w:val="009C28C1"/>
    <w:rsid w:val="009F779F"/>
    <w:rsid w:val="009F7EED"/>
    <w:rsid w:val="00A10A43"/>
    <w:rsid w:val="00A22A49"/>
    <w:rsid w:val="00A55742"/>
    <w:rsid w:val="00A80636"/>
    <w:rsid w:val="00A80EFB"/>
    <w:rsid w:val="00AF0AAB"/>
    <w:rsid w:val="00B004B7"/>
    <w:rsid w:val="00B21204"/>
    <w:rsid w:val="00B4406D"/>
    <w:rsid w:val="00B93520"/>
    <w:rsid w:val="00BC065D"/>
    <w:rsid w:val="00BF597E"/>
    <w:rsid w:val="00C51A36"/>
    <w:rsid w:val="00C5433B"/>
    <w:rsid w:val="00C55228"/>
    <w:rsid w:val="00C63768"/>
    <w:rsid w:val="00C82624"/>
    <w:rsid w:val="00CB6FCC"/>
    <w:rsid w:val="00CE315A"/>
    <w:rsid w:val="00CF5B83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047275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7E058B"/>
    <w:rsid w:val="06994A8D"/>
    <w:rsid w:val="06AA7E97"/>
    <w:rsid w:val="06EC4BBF"/>
    <w:rsid w:val="06ED612A"/>
    <w:rsid w:val="08767210"/>
    <w:rsid w:val="08851DD7"/>
    <w:rsid w:val="08A6363E"/>
    <w:rsid w:val="08C22483"/>
    <w:rsid w:val="08ED1EE8"/>
    <w:rsid w:val="09005957"/>
    <w:rsid w:val="096333C5"/>
    <w:rsid w:val="09933EF9"/>
    <w:rsid w:val="09AA0CA5"/>
    <w:rsid w:val="09FA6045"/>
    <w:rsid w:val="0A0F142E"/>
    <w:rsid w:val="0A174B9B"/>
    <w:rsid w:val="0A1C56C1"/>
    <w:rsid w:val="0A76267F"/>
    <w:rsid w:val="0A904067"/>
    <w:rsid w:val="0ACA6ED2"/>
    <w:rsid w:val="0ADB28F3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274A45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BF31B2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5F4E80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A4283B"/>
    <w:rsid w:val="1DC4038A"/>
    <w:rsid w:val="1DF36090"/>
    <w:rsid w:val="1DFE25B1"/>
    <w:rsid w:val="1E084C36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9B0B03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482D50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641ED7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624D74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E40873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4C2454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ED7250"/>
    <w:rsid w:val="40F80D82"/>
    <w:rsid w:val="41342A6B"/>
    <w:rsid w:val="414C7183"/>
    <w:rsid w:val="418D501C"/>
    <w:rsid w:val="41E9167B"/>
    <w:rsid w:val="42416B50"/>
    <w:rsid w:val="424566C9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1F4E99"/>
    <w:rsid w:val="46332B60"/>
    <w:rsid w:val="464C49FB"/>
    <w:rsid w:val="464C7D09"/>
    <w:rsid w:val="4654705C"/>
    <w:rsid w:val="468D2C1F"/>
    <w:rsid w:val="468D3CA5"/>
    <w:rsid w:val="469B0FAE"/>
    <w:rsid w:val="46CE07C2"/>
    <w:rsid w:val="46D3481B"/>
    <w:rsid w:val="46E34F31"/>
    <w:rsid w:val="46EA7997"/>
    <w:rsid w:val="470243E7"/>
    <w:rsid w:val="471F1498"/>
    <w:rsid w:val="47271944"/>
    <w:rsid w:val="47271951"/>
    <w:rsid w:val="475C4BFE"/>
    <w:rsid w:val="47BB044C"/>
    <w:rsid w:val="48123245"/>
    <w:rsid w:val="48262DE5"/>
    <w:rsid w:val="48B313C8"/>
    <w:rsid w:val="49C0281D"/>
    <w:rsid w:val="49DA76F9"/>
    <w:rsid w:val="49E449BF"/>
    <w:rsid w:val="49EC77B8"/>
    <w:rsid w:val="49ED5B1C"/>
    <w:rsid w:val="4A0556FB"/>
    <w:rsid w:val="4A421E6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91592D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0A614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AD03DC"/>
    <w:rsid w:val="57F55B90"/>
    <w:rsid w:val="580F191D"/>
    <w:rsid w:val="58276F84"/>
    <w:rsid w:val="58584813"/>
    <w:rsid w:val="58B008E9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06898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822A5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792888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9F30D7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75300F"/>
    <w:rsid w:val="6AB40496"/>
    <w:rsid w:val="6ABD1D5E"/>
    <w:rsid w:val="6AF33939"/>
    <w:rsid w:val="6B3A4C7B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474EF5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9C1D3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B4A1A03"/>
    <w:rsid w:val="7C090682"/>
    <w:rsid w:val="7C6A6CA8"/>
    <w:rsid w:val="7CF04E00"/>
    <w:rsid w:val="7D181C17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5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5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1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2333</Words>
  <Characters>2610</Characters>
  <Lines>70</Lines>
  <Paragraphs>19</Paragraphs>
  <TotalTime>4</TotalTime>
  <ScaleCrop>false</ScaleCrop>
  <LinksUpToDate>false</LinksUpToDate>
  <CharactersWithSpaces>2749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和为贵</cp:lastModifiedBy>
  <dcterms:modified xsi:type="dcterms:W3CDTF">2022-09-09T00:54:15Z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7FABE87E10614D499172B8ECEF882CC5</vt:lpwstr>
  </property>
</Properties>
</file>