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r>
        <w:rPr>
          <w:rFonts w:hint="default" w:ascii="Times New Roman" w:hAnsi="Times New Roman" w:cs="Times New Roman"/>
          <w:b w:val="0"/>
          <w:bCs/>
          <w:sz w:val="21"/>
          <w:szCs w:val="21"/>
        </w:rPr>
        <w:t>0</w:t>
      </w:r>
      <w:r>
        <w:rPr>
          <w:rFonts w:hint="eastAsia" w:ascii="Times New Roman" w:hAnsi="Times New Roman" w:cs="Times New Roman"/>
          <w:b w:val="0"/>
          <w:bCs/>
          <w:sz w:val="21"/>
          <w:szCs w:val="21"/>
          <w:lang w:val="en-US" w:eastAsia="zh-CN"/>
        </w:rPr>
        <w:t>667</w:t>
      </w:r>
      <w:r>
        <w:rPr>
          <w:rFonts w:hint="default" w:ascii="Times New Roman" w:hAnsi="Times New Roman" w:cs="Times New Roman"/>
          <w:b w:val="0"/>
          <w:bCs/>
          <w:sz w:val="21"/>
          <w:szCs w:val="21"/>
        </w:rPr>
        <w:t>-2019-Q</w:t>
      </w: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赛亚泽索具保定有限公司</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81"/>
        <w:gridCol w:w="1827"/>
        <w:gridCol w:w="619"/>
        <w:gridCol w:w="375"/>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Style w:val="13"/>
                <w:rFonts w:hint="default" w:ascii="Times New Roman" w:hAnsi="Times New Roman" w:cs="Times New Roman"/>
                <w:b w:val="0"/>
                <w:bCs w:val="0"/>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27" w:type="dxa"/>
            <w:gridSpan w:val="6"/>
            <w:vAlign w:val="center"/>
          </w:tcPr>
          <w:p>
            <w:pPr>
              <w:rPr>
                <w:b/>
                <w:color w:val="000000"/>
                <w:sz w:val="20"/>
                <w:szCs w:val="20"/>
              </w:rPr>
            </w:pPr>
            <w:r>
              <w:rPr>
                <w:rFonts w:hint="default" w:ascii="Times New Roman" w:hAnsi="Times New Roman" w:cs="Times New Roman"/>
                <w:b w:val="0"/>
                <w:bCs w:val="0"/>
                <w:color w:val="000000"/>
                <w:sz w:val="21"/>
                <w:szCs w:val="21"/>
              </w:rPr>
              <w:t>北京市朝阳区北苑路168号1号楼16层1603</w:t>
            </w:r>
          </w:p>
        </w:tc>
        <w:tc>
          <w:tcPr>
            <w:tcW w:w="1084" w:type="dxa"/>
            <w:gridSpan w:val="2"/>
            <w:vAlign w:val="center"/>
          </w:tcPr>
          <w:p>
            <w:pPr>
              <w:rPr>
                <w:b/>
                <w:color w:val="000000"/>
                <w:sz w:val="20"/>
                <w:szCs w:val="20"/>
              </w:rPr>
            </w:pPr>
            <w:r>
              <w:rPr>
                <w:rFonts w:hint="default"/>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top"/>
          </w:tcPr>
          <w:p>
            <w:pPr>
              <w:autoSpaceDE w:val="0"/>
              <w:autoSpaceDN w:val="0"/>
              <w:adjustRightInd w:val="0"/>
              <w:spacing w:line="400" w:lineRule="exact"/>
              <w:rPr>
                <w:b/>
                <w:color w:val="000000"/>
                <w:sz w:val="20"/>
                <w:szCs w:val="20"/>
              </w:rPr>
            </w:pPr>
            <w:r>
              <w:rPr>
                <w:rFonts w:hint="default" w:ascii="Times New Roman" w:hAnsi="Times New Roman" w:cs="Times New Roman"/>
                <w:b w:val="0"/>
                <w:bCs w:val="0"/>
                <w:kern w:val="0"/>
                <w:sz w:val="21"/>
                <w:szCs w:val="21"/>
              </w:rPr>
              <w:t>010-8225 2376</w:t>
            </w:r>
          </w:p>
        </w:tc>
        <w:tc>
          <w:tcPr>
            <w:tcW w:w="724" w:type="dxa"/>
            <w:gridSpan w:val="2"/>
            <w:vAlign w:val="center"/>
          </w:tcPr>
          <w:p>
            <w:pPr>
              <w:rPr>
                <w:b/>
                <w:color w:val="000000"/>
                <w:sz w:val="20"/>
                <w:szCs w:val="20"/>
              </w:rPr>
            </w:pPr>
            <w:r>
              <w:rPr>
                <w:rFonts w:hint="default"/>
                <w:b/>
                <w:color w:val="000000"/>
                <w:sz w:val="20"/>
                <w:szCs w:val="20"/>
              </w:rPr>
              <w:t>传真</w:t>
            </w:r>
          </w:p>
        </w:tc>
        <w:tc>
          <w:tcPr>
            <w:tcW w:w="1827" w:type="dxa"/>
            <w:vAlign w:val="center"/>
          </w:tcPr>
          <w:p>
            <w:pPr>
              <w:rPr>
                <w:b/>
                <w:color w:val="000000"/>
                <w:sz w:val="20"/>
                <w:szCs w:val="20"/>
              </w:rPr>
            </w:pPr>
            <w:r>
              <w:rPr>
                <w:rFonts w:hint="default" w:ascii="Times New Roman" w:hAnsi="Times New Roman" w:cs="Times New Roman"/>
                <w:b w:val="0"/>
                <w:bCs w:val="0"/>
                <w:kern w:val="0"/>
                <w:sz w:val="21"/>
                <w:szCs w:val="21"/>
              </w:rPr>
              <w:t>010-51095415</w:t>
            </w:r>
          </w:p>
        </w:tc>
        <w:tc>
          <w:tcPr>
            <w:tcW w:w="619" w:type="dxa"/>
            <w:vAlign w:val="center"/>
          </w:tcPr>
          <w:p>
            <w:pPr>
              <w:rPr>
                <w:b/>
                <w:color w:val="000000"/>
                <w:sz w:val="20"/>
                <w:szCs w:val="20"/>
              </w:rPr>
            </w:pPr>
            <w:r>
              <w:rPr>
                <w:rFonts w:hint="default"/>
                <w:b/>
                <w:color w:val="000000"/>
                <w:sz w:val="20"/>
                <w:szCs w:val="20"/>
              </w:rPr>
              <w:t>邮箱</w:t>
            </w:r>
          </w:p>
        </w:tc>
        <w:tc>
          <w:tcPr>
            <w:tcW w:w="2554"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jc w:val="center"/>
              <w:rPr>
                <w:b/>
                <w:color w:val="000000"/>
                <w:sz w:val="20"/>
                <w:szCs w:val="20"/>
              </w:rPr>
            </w:pPr>
            <w:r>
              <w:rPr>
                <w:rFonts w:hint="eastAsia"/>
                <w:b w:val="0"/>
                <w:bCs w:val="0"/>
                <w:sz w:val="21"/>
                <w:szCs w:val="21"/>
                <w:lang w:val="en-US" w:eastAsia="zh-CN"/>
              </w:rPr>
              <w:t>吉洁</w:t>
            </w:r>
          </w:p>
        </w:tc>
        <w:tc>
          <w:tcPr>
            <w:tcW w:w="851" w:type="dxa"/>
            <w:gridSpan w:val="2"/>
            <w:vAlign w:val="center"/>
          </w:tcPr>
          <w:p>
            <w:pPr>
              <w:jc w:val="center"/>
              <w:rPr>
                <w:b/>
                <w:color w:val="000000"/>
                <w:sz w:val="20"/>
                <w:szCs w:val="20"/>
              </w:rPr>
            </w:pPr>
            <w:r>
              <w:rPr>
                <w:rFonts w:hint="eastAsia"/>
                <w:b w:val="0"/>
                <w:bCs w:val="0"/>
                <w:sz w:val="21"/>
                <w:szCs w:val="21"/>
                <w:lang w:val="en-US" w:eastAsia="zh-CN"/>
              </w:rPr>
              <w:t>组长</w:t>
            </w:r>
          </w:p>
        </w:tc>
        <w:tc>
          <w:tcPr>
            <w:tcW w:w="1417" w:type="dxa"/>
            <w:gridSpan w:val="2"/>
            <w:vAlign w:val="center"/>
          </w:tcPr>
          <w:p>
            <w:pPr>
              <w:jc w:val="center"/>
              <w:rPr>
                <w:b/>
                <w:color w:val="000000"/>
                <w:sz w:val="20"/>
                <w:szCs w:val="20"/>
              </w:rPr>
            </w:pPr>
            <w:r>
              <w:rPr>
                <w:rFonts w:hint="eastAsia"/>
                <w:b w:val="0"/>
                <w:bCs w:val="0"/>
                <w:sz w:val="21"/>
                <w:szCs w:val="21"/>
                <w:lang w:val="en-US" w:eastAsia="zh-CN"/>
              </w:rPr>
              <w:t>女</w:t>
            </w:r>
          </w:p>
        </w:tc>
        <w:tc>
          <w:tcPr>
            <w:tcW w:w="3402" w:type="dxa"/>
            <w:gridSpan w:val="4"/>
            <w:vAlign w:val="center"/>
          </w:tcPr>
          <w:p>
            <w:pPr>
              <w:spacing w:line="240" w:lineRule="exact"/>
              <w:jc w:val="center"/>
              <w:rPr>
                <w:b/>
                <w:color w:val="000000"/>
                <w:sz w:val="20"/>
                <w:szCs w:val="20"/>
              </w:rPr>
            </w:pPr>
            <w:r>
              <w:rPr>
                <w:b w:val="0"/>
                <w:bCs w:val="0"/>
                <w:sz w:val="21"/>
                <w:szCs w:val="21"/>
              </w:rPr>
              <w:t>2016-N1QMS-2022240</w:t>
            </w:r>
          </w:p>
        </w:tc>
        <w:tc>
          <w:tcPr>
            <w:tcW w:w="2179" w:type="dxa"/>
            <w:gridSpan w:val="2"/>
            <w:vAlign w:val="center"/>
          </w:tcPr>
          <w:p>
            <w:pPr>
              <w:jc w:val="center"/>
              <w:rPr>
                <w:sz w:val="20"/>
              </w:rPr>
            </w:pPr>
            <w:bookmarkStart w:id="0" w:name="专业代码"/>
            <w:r>
              <w:rPr>
                <w:sz w:val="20"/>
              </w:rPr>
              <w:t>17.12.03;18.02.02;</w:t>
            </w:r>
          </w:p>
          <w:p>
            <w:pPr>
              <w:jc w:val="center"/>
              <w:rPr>
                <w:rFonts w:hint="eastAsia" w:eastAsia="宋体"/>
                <w:b/>
                <w:color w:val="000000"/>
                <w:sz w:val="20"/>
                <w:szCs w:val="20"/>
                <w:lang w:eastAsia="zh-CN"/>
              </w:rPr>
            </w:pPr>
            <w:r>
              <w:rPr>
                <w:sz w:val="20"/>
              </w:rPr>
              <w:t>29.12.00</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ascii="Times New Roman" w:hAnsi="Times New Roman" w:eastAsia="宋体" w:cs="Times New Roman"/>
                <w:b w:val="0"/>
                <w:bCs/>
                <w:color w:val="000000" w:themeColor="text1"/>
                <w:kern w:val="2"/>
                <w:sz w:val="21"/>
                <w:szCs w:val="24"/>
                <w:lang w:val="en-US" w:eastAsia="zh-CN" w:bidi="ar-SA"/>
              </w:rPr>
            </w:pPr>
            <w:r>
              <w:rPr>
                <w:rFonts w:hint="eastAsia"/>
                <w:b w:val="0"/>
                <w:bCs/>
                <w:color w:val="000000" w:themeColor="text1"/>
                <w:lang w:val="en-US" w:eastAsia="zh-CN"/>
              </w:rPr>
              <w:t>邵国占</w:t>
            </w:r>
          </w:p>
        </w:tc>
        <w:tc>
          <w:tcPr>
            <w:tcW w:w="851" w:type="dxa"/>
            <w:gridSpan w:val="2"/>
            <w:vAlign w:val="center"/>
          </w:tcPr>
          <w:p>
            <w:pPr>
              <w:rPr>
                <w:rFonts w:hint="eastAsia" w:ascii="Times New Roman" w:hAnsi="Times New Roman" w:eastAsia="宋体" w:cs="Times New Roman"/>
                <w:b w:val="0"/>
                <w:bCs/>
                <w:color w:val="000000" w:themeColor="text1"/>
                <w:kern w:val="2"/>
                <w:sz w:val="21"/>
                <w:szCs w:val="24"/>
                <w:lang w:val="en-US" w:eastAsia="zh-CN" w:bidi="ar-SA"/>
              </w:rPr>
            </w:pPr>
            <w:r>
              <w:rPr>
                <w:rFonts w:hint="eastAsia"/>
                <w:b w:val="0"/>
                <w:bCs/>
                <w:color w:val="000000" w:themeColor="text1"/>
                <w:lang w:val="en-US" w:eastAsia="zh-CN"/>
              </w:rPr>
              <w:t>男</w:t>
            </w:r>
          </w:p>
        </w:tc>
        <w:tc>
          <w:tcPr>
            <w:tcW w:w="1417" w:type="dxa"/>
            <w:gridSpan w:val="2"/>
            <w:vAlign w:val="center"/>
          </w:tcPr>
          <w:p>
            <w:pPr>
              <w:rPr>
                <w:rFonts w:hint="eastAsia" w:ascii="Times New Roman" w:hAnsi="Times New Roman" w:eastAsia="宋体" w:cs="Times New Roman"/>
                <w:b w:val="0"/>
                <w:bCs/>
                <w:color w:val="000000" w:themeColor="text1"/>
                <w:kern w:val="2"/>
                <w:sz w:val="21"/>
                <w:szCs w:val="24"/>
                <w:lang w:val="en-US" w:eastAsia="zh-CN" w:bidi="ar-SA"/>
              </w:rPr>
            </w:pPr>
            <w:r>
              <w:rPr>
                <w:rFonts w:hint="eastAsia"/>
                <w:b w:val="0"/>
                <w:bCs/>
                <w:color w:val="000000" w:themeColor="text1"/>
                <w:lang w:val="en-US" w:eastAsia="zh-CN"/>
              </w:rPr>
              <w:t>向导</w:t>
            </w:r>
          </w:p>
        </w:tc>
        <w:tc>
          <w:tcPr>
            <w:tcW w:w="3402" w:type="dxa"/>
            <w:gridSpan w:val="4"/>
            <w:vAlign w:val="center"/>
          </w:tcPr>
          <w:p>
            <w:pPr>
              <w:rPr>
                <w:rFonts w:hint="eastAsia" w:ascii="Times New Roman" w:hAnsi="Times New Roman" w:eastAsia="宋体" w:cs="Times New Roman"/>
                <w:b w:val="0"/>
                <w:bCs/>
                <w:color w:val="000000" w:themeColor="text1"/>
                <w:kern w:val="2"/>
                <w:sz w:val="21"/>
                <w:szCs w:val="24"/>
                <w:lang w:val="en-US" w:eastAsia="zh-CN" w:bidi="ar-SA"/>
              </w:rPr>
            </w:pPr>
            <w:r>
              <w:rPr>
                <w:rFonts w:hint="eastAsia" w:ascii="宋体" w:hAnsi="宋体"/>
                <w:b w:val="0"/>
                <w:bCs/>
                <w:sz w:val="21"/>
                <w:szCs w:val="21"/>
                <w:lang w:eastAsia="zh-CN"/>
              </w:rPr>
              <w:t>赛亚泽索具保定有限公司</w:t>
            </w: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lang w:eastAsia="zh-CN"/>
        </w:rPr>
        <w:t>☑</w:t>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8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赛亚泽索具保定有限公司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保定市徐水区徐水经济开发区纬三路小微企业园</w:t>
            </w:r>
          </w:p>
        </w:tc>
        <w:tc>
          <w:tcPr>
            <w:tcW w:w="78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15" w:type="dxa"/>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保定市徐水区徐水经济开发区纬三路小微企业园</w:t>
            </w:r>
          </w:p>
        </w:tc>
        <w:tc>
          <w:tcPr>
            <w:tcW w:w="785" w:type="dxa"/>
            <w:vMerge w:val="continue"/>
            <w:vAlign w:val="center"/>
          </w:tcPr>
          <w:p>
            <w:pPr>
              <w:spacing w:line="280" w:lineRule="exact"/>
              <w:jc w:val="center"/>
              <w:rPr>
                <w:rFonts w:ascii="宋体"/>
                <w:b/>
                <w:color w:val="000000"/>
                <w:sz w:val="20"/>
                <w:szCs w:val="20"/>
              </w:rPr>
            </w:pPr>
          </w:p>
        </w:tc>
        <w:tc>
          <w:tcPr>
            <w:tcW w:w="2015" w:type="dxa"/>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保定市徐水区徐水经济开发区纬三路小微企业园</w:t>
            </w:r>
          </w:p>
        </w:tc>
        <w:tc>
          <w:tcPr>
            <w:tcW w:w="785" w:type="dxa"/>
            <w:vMerge w:val="continue"/>
            <w:vAlign w:val="center"/>
          </w:tcPr>
          <w:p>
            <w:pPr>
              <w:spacing w:line="280" w:lineRule="exact"/>
              <w:jc w:val="center"/>
              <w:rPr>
                <w:rFonts w:ascii="宋体"/>
                <w:b/>
                <w:color w:val="000000"/>
                <w:sz w:val="20"/>
                <w:szCs w:val="20"/>
              </w:rPr>
            </w:pPr>
          </w:p>
        </w:tc>
        <w:tc>
          <w:tcPr>
            <w:tcW w:w="2015" w:type="dxa"/>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王顺</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r>
              <w:rPr>
                <w:color w:val="000000"/>
              </w:rPr>
              <w:t>13315246783</w:t>
            </w:r>
          </w:p>
        </w:tc>
        <w:tc>
          <w:tcPr>
            <w:tcW w:w="78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15" w:type="dxa"/>
          </w:tcPr>
          <w:p>
            <w:pPr>
              <w:spacing w:line="280" w:lineRule="exact"/>
              <w:rPr>
                <w:rFonts w:ascii="宋体"/>
                <w:b/>
                <w:color w:val="000000"/>
                <w:sz w:val="20"/>
                <w:szCs w:val="20"/>
              </w:rPr>
            </w:pPr>
            <w:r>
              <w:rPr>
                <w:color w:val="000000"/>
              </w:rPr>
              <w:t>0312-8978008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王顺</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lang w:val="en-US" w:eastAsia="zh-CN"/>
              </w:rPr>
              <w:t>王顺</w:t>
            </w:r>
          </w:p>
        </w:tc>
        <w:tc>
          <w:tcPr>
            <w:tcW w:w="785" w:type="dxa"/>
          </w:tcPr>
          <w:p>
            <w:pPr>
              <w:jc w:val="center"/>
              <w:rPr>
                <w:rFonts w:ascii="宋体"/>
                <w:b/>
                <w:color w:val="000000"/>
                <w:sz w:val="20"/>
                <w:szCs w:val="20"/>
              </w:rPr>
            </w:pPr>
            <w:r>
              <w:rPr>
                <w:rFonts w:hint="eastAsia" w:ascii="宋体"/>
                <w:b/>
                <w:color w:val="000000"/>
                <w:sz w:val="20"/>
                <w:szCs w:val="20"/>
              </w:rPr>
              <w:t>邮箱</w:t>
            </w:r>
          </w:p>
        </w:tc>
        <w:tc>
          <w:tcPr>
            <w:tcW w:w="2015" w:type="dxa"/>
          </w:tcPr>
          <w:p>
            <w:pPr>
              <w:rPr>
                <w:rFonts w:ascii="宋体"/>
                <w:b/>
                <w:color w:val="000000"/>
                <w:sz w:val="20"/>
                <w:szCs w:val="20"/>
              </w:rPr>
            </w:pPr>
            <w:r>
              <w:rPr>
                <w:rFonts w:hint="eastAsia" w:cs="Times New Roman"/>
                <w:color w:val="auto"/>
                <w:sz w:val="21"/>
                <w:szCs w:val="21"/>
                <w:lang w:val="en-US" w:eastAsia="zh-CN"/>
              </w:rPr>
              <w:t>ws</w:t>
            </w:r>
            <w:r>
              <w:rPr>
                <w:rFonts w:hint="default" w:ascii="Times New Roman" w:hAnsi="Times New Roman" w:cs="Times New Roman"/>
                <w:color w:val="auto"/>
                <w:sz w:val="21"/>
                <w:szCs w:val="21"/>
              </w:rPr>
              <w:t>@</w:t>
            </w:r>
            <w:r>
              <w:rPr>
                <w:rFonts w:hint="eastAsia" w:cs="Times New Roman"/>
                <w:color w:val="auto"/>
                <w:sz w:val="21"/>
                <w:szCs w:val="21"/>
                <w:lang w:val="en-US" w:eastAsia="zh-CN"/>
              </w:rPr>
              <w:t>slings</w:t>
            </w:r>
            <w:r>
              <w:rPr>
                <w:rFonts w:hint="default" w:ascii="Times New Roman" w:hAnsi="Times New Roman" w:cs="Times New Roman"/>
                <w:color w:val="auto"/>
                <w:sz w:val="21"/>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eastAsia" w:ascii="宋体" w:eastAsia="宋体"/>
                <w:b/>
                <w:color w:val="000000"/>
                <w:sz w:val="20"/>
                <w:szCs w:val="20"/>
                <w:lang w:val="en-GB" w:eastAsia="zh-CN"/>
              </w:rPr>
            </w:pPr>
            <w:r>
              <w:rPr>
                <w:rFonts w:ascii="宋体" w:hAnsi="宋体"/>
                <w:b/>
                <w:color w:val="000000"/>
                <w:sz w:val="20"/>
                <w:szCs w:val="20"/>
              </w:rPr>
              <w:t>QMS:</w:t>
            </w:r>
            <w:r>
              <w:rPr>
                <w:rFonts w:hint="eastAsia" w:ascii="宋体" w:hAnsi="宋体" w:cs="宋体"/>
                <w:kern w:val="0"/>
                <w:sz w:val="21"/>
                <w:szCs w:val="21"/>
                <w:lang w:eastAsia="zh-CN"/>
              </w:rPr>
              <w:t>钢丝绳缆、带，吊装带，吊索具，索具设备(资质范围内除外)的生产；建材(铝板)、纺织品的销售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r>
              <w:rPr>
                <w:rFonts w:hint="eastAsia"/>
                <w:b w:val="0"/>
                <w:bCs w:val="0"/>
                <w:sz w:val="21"/>
                <w:szCs w:val="21"/>
                <w:lang w:eastAsia="zh-CN"/>
              </w:rPr>
              <w:t>17.12.03;18.02.02;29.12.00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hAns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widowControl/>
              <w:spacing w:line="280" w:lineRule="exact"/>
              <w:jc w:val="lef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hAns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val="0"/>
                <w:bCs/>
                <w:color w:val="000000"/>
                <w:spacing w:val="-10"/>
                <w:sz w:val="20"/>
                <w:szCs w:val="20"/>
              </w:rPr>
            </w:pPr>
            <w:r>
              <w:rPr>
                <w:rFonts w:hint="eastAsia" w:ascii="宋体" w:hAnsi="宋体"/>
                <w:b w:val="0"/>
                <w:bCs/>
                <w:color w:val="000000"/>
                <w:spacing w:val="-10"/>
                <w:sz w:val="20"/>
                <w:szCs w:val="20"/>
                <w:lang w:eastAsia="zh-CN"/>
              </w:rPr>
              <w:t>☑</w:t>
            </w:r>
            <w:r>
              <w:rPr>
                <w:rFonts w:hint="eastAsia" w:ascii="宋体" w:hAnsi="宋体"/>
                <w:b w:val="0"/>
                <w:bCs/>
                <w:color w:val="000000"/>
                <w:sz w:val="20"/>
                <w:szCs w:val="20"/>
              </w:rPr>
              <w:t>是</w:t>
            </w:r>
          </w:p>
        </w:tc>
        <w:tc>
          <w:tcPr>
            <w:tcW w:w="1308" w:type="dxa"/>
            <w:gridSpan w:val="2"/>
          </w:tcPr>
          <w:p>
            <w:pPr>
              <w:rPr>
                <w:rFonts w:ascii="宋体"/>
                <w:b w:val="0"/>
                <w:bCs/>
                <w:color w:val="000000"/>
                <w:spacing w:val="-10"/>
                <w:sz w:val="20"/>
                <w:szCs w:val="20"/>
              </w:rPr>
            </w:pPr>
            <w:r>
              <w:rPr>
                <w:rFonts w:hint="eastAsia" w:ascii="宋体" w:hAnsi="宋体"/>
                <w:b w:val="0"/>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hint="eastAsia" w:ascii="宋体" w:eastAsia="宋体"/>
                <w:b/>
                <w:color w:val="000000"/>
                <w:sz w:val="20"/>
                <w:szCs w:val="20"/>
                <w:lang w:eastAsia="zh-CN"/>
              </w:rPr>
            </w:pPr>
            <w:r>
              <w:rPr>
                <w:rFonts w:hint="eastAsia" w:ascii="宋体" w:hAnsi="宋体" w:cs="宋体"/>
                <w:kern w:val="0"/>
                <w:sz w:val="21"/>
                <w:szCs w:val="21"/>
                <w:lang w:eastAsia="zh-CN"/>
              </w:rPr>
              <w:t>钢丝绳缆、带，吊装带，吊索具，索具设备(资质范围内除外)的生产；建材(铝板)、纺织品的销售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管理层、办公室、生产技术部、供销部</w:t>
            </w:r>
          </w:p>
          <w:p>
            <w:pPr>
              <w:tabs>
                <w:tab w:val="left" w:pos="360"/>
              </w:tabs>
              <w:spacing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hAnsi="宋体"/>
                <w:sz w:val="21"/>
                <w:szCs w:val="21"/>
                <w:lang w:eastAsia="zh-CN"/>
              </w:rPr>
              <w:t>保定市徐水区徐水经济开发区纬三路小微企业园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hAnsi="宋体"/>
                <w:sz w:val="21"/>
                <w:szCs w:val="21"/>
                <w:lang w:eastAsia="zh-CN"/>
              </w:rPr>
              <w:t>保定市徐水区徐水经济开发区纬三路小微企业园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3</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GB/T16762-2009、GB/T16271-2009、GB/T6946-2008</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吊装带</w:t>
            </w:r>
            <w:r>
              <w:rPr>
                <w:rFonts w:hint="eastAsia" w:ascii="宋体"/>
                <w:color w:val="000000"/>
                <w:sz w:val="20"/>
                <w:szCs w:val="20"/>
                <w:lang w:val="en-US" w:eastAsia="zh-CN"/>
              </w:rPr>
              <w:t>/</w:t>
            </w:r>
            <w:r>
              <w:rPr>
                <w:rFonts w:hint="eastAsia" w:ascii="宋体"/>
                <w:color w:val="000000"/>
                <w:sz w:val="20"/>
                <w:szCs w:val="20"/>
              </w:rPr>
              <w:t>吊索具：编制—下料—（染色）—测量画线—缝制—修整—检验—包装入库</w:t>
            </w:r>
          </w:p>
          <w:p>
            <w:pPr>
              <w:rPr>
                <w:rFonts w:hint="eastAsia" w:ascii="宋体"/>
                <w:color w:val="000000"/>
                <w:sz w:val="20"/>
                <w:szCs w:val="20"/>
              </w:rPr>
            </w:pPr>
            <w:r>
              <w:rPr>
                <w:rFonts w:hint="eastAsia" w:ascii="宋体"/>
                <w:color w:val="000000"/>
                <w:sz w:val="20"/>
                <w:szCs w:val="20"/>
              </w:rPr>
              <w:t>钢丝绳缆、带：下料—测量画线—插编/压制—修整—检验—包装入库</w:t>
            </w:r>
          </w:p>
          <w:p>
            <w:pPr>
              <w:rPr>
                <w:rFonts w:hint="eastAsia" w:ascii="宋体"/>
                <w:color w:val="000000"/>
                <w:sz w:val="20"/>
                <w:szCs w:val="20"/>
              </w:rPr>
            </w:pPr>
            <w:r>
              <w:rPr>
                <w:rFonts w:hint="eastAsia" w:ascii="宋体"/>
                <w:color w:val="000000"/>
                <w:sz w:val="20"/>
                <w:szCs w:val="20"/>
              </w:rPr>
              <w:t>索具机械：下料—冲压—组装—喷漆—检验—包装入库</w:t>
            </w:r>
          </w:p>
          <w:p>
            <w:pPr>
              <w:rPr>
                <w:rFonts w:ascii="宋体"/>
                <w:color w:val="000000"/>
                <w:sz w:val="20"/>
                <w:szCs w:val="20"/>
              </w:rPr>
            </w:pPr>
            <w:r>
              <w:rPr>
                <w:rFonts w:hint="eastAsia" w:ascii="宋体"/>
                <w:color w:val="000000"/>
                <w:sz w:val="20"/>
                <w:szCs w:val="20"/>
              </w:rPr>
              <w:t>铝板、纺织品的销售：确定顾客需求—业务洽谈—服务要求评审—签订合同—组织货源—产品交付—结算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eastAsia="zh-CN"/>
              </w:rPr>
              <w:t>：</w:t>
            </w:r>
            <w:r>
              <w:rPr>
                <w:rFonts w:hint="eastAsia" w:ascii="宋体" w:hAnsi="宋体"/>
                <w:color w:val="000000"/>
                <w:sz w:val="20"/>
                <w:szCs w:val="20"/>
                <w:lang w:val="en-US" w:eastAsia="zh-CN"/>
              </w:rPr>
              <w:t>压制、销售服务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压制作业指导书、销售服务规范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压制/销售服务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产品运输、染色、喷漆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织带机、压套机、叉套机、</w:t>
            </w:r>
            <w:r>
              <w:rPr>
                <w:rFonts w:hint="eastAsia" w:ascii="宋体" w:hAnsi="宋体"/>
                <w:sz w:val="21"/>
                <w:szCs w:val="21"/>
                <w:lang w:val="en-US" w:eastAsia="zh-CN"/>
              </w:rPr>
              <w:t>车床、锯床、钻床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游标卡尺、千分尺、钢直尺、拉力试验机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sz w:val="21"/>
                <w:szCs w:val="21"/>
              </w:rPr>
              <w:t>公司占地面积</w:t>
            </w:r>
            <w:r>
              <w:rPr>
                <w:rFonts w:hint="eastAsia"/>
                <w:sz w:val="21"/>
                <w:szCs w:val="21"/>
                <w:lang w:val="en-US" w:eastAsia="zh-CN"/>
              </w:rPr>
              <w:t>一万</w:t>
            </w:r>
            <w:r>
              <w:rPr>
                <w:rFonts w:hint="eastAsia"/>
                <w:sz w:val="21"/>
                <w:szCs w:val="21"/>
              </w:rPr>
              <w:t>平米，其中办公面积约</w:t>
            </w:r>
            <w:r>
              <w:rPr>
                <w:rFonts w:hint="eastAsia"/>
                <w:sz w:val="21"/>
                <w:szCs w:val="21"/>
                <w:lang w:val="en-US" w:eastAsia="zh-CN"/>
              </w:rPr>
              <w:t>2</w:t>
            </w:r>
            <w:r>
              <w:rPr>
                <w:rFonts w:hint="eastAsia"/>
                <w:sz w:val="21"/>
                <w:szCs w:val="21"/>
              </w:rPr>
              <w:t>00平米，生产车间约</w:t>
            </w:r>
            <w:r>
              <w:rPr>
                <w:rFonts w:hint="eastAsia"/>
                <w:sz w:val="21"/>
                <w:szCs w:val="21"/>
                <w:lang w:val="en-US" w:eastAsia="zh-CN"/>
              </w:rPr>
              <w:t>16</w:t>
            </w:r>
            <w:r>
              <w:rPr>
                <w:rFonts w:hint="eastAsia"/>
                <w:sz w:val="21"/>
                <w:szCs w:val="21"/>
              </w:rPr>
              <w:t>0</w:t>
            </w:r>
            <w:r>
              <w:rPr>
                <w:rFonts w:hint="eastAsia"/>
                <w:sz w:val="21"/>
                <w:szCs w:val="21"/>
                <w:lang w:val="en-US" w:eastAsia="zh-CN"/>
              </w:rPr>
              <w:t>0</w:t>
            </w:r>
            <w:r>
              <w:rPr>
                <w:rFonts w:hint="eastAsia"/>
                <w:sz w:val="21"/>
                <w:szCs w:val="21"/>
              </w:rPr>
              <w:t>平米，</w:t>
            </w:r>
            <w:r>
              <w:rPr>
                <w:rFonts w:hint="eastAsia"/>
                <w:sz w:val="21"/>
                <w:szCs w:val="21"/>
                <w:lang w:val="en-US" w:eastAsia="zh-CN"/>
              </w:rPr>
              <w:t>2</w:t>
            </w:r>
            <w:r>
              <w:rPr>
                <w:rFonts w:hint="eastAsia"/>
                <w:sz w:val="21"/>
                <w:szCs w:val="21"/>
              </w:rPr>
              <w:t>个车间，车间宽敞明亮，干净整洁，通道畅通</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生产技术部、供销部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生产和服务提供过程；产品和服务的放行；</w:t>
            </w:r>
            <w:r>
              <w:rPr>
                <w:rFonts w:hint="eastAsia"/>
                <w:szCs w:val="21"/>
              </w:rPr>
              <w:t>外部提供过程、产品和服务</w:t>
            </w:r>
            <w:r>
              <w:rPr>
                <w:rFonts w:hint="eastAsia"/>
                <w:szCs w:val="21"/>
                <w:lang w:eastAsia="zh-CN"/>
              </w:rPr>
              <w:t>；</w:t>
            </w:r>
            <w:r>
              <w:rPr>
                <w:rFonts w:hint="eastAsia"/>
                <w:szCs w:val="21"/>
              </w:rPr>
              <w:t>产品和服务的要求</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eastAsia="宋体"/>
          <w:b/>
          <w:color w:val="000000"/>
          <w:sz w:val="20"/>
          <w:szCs w:val="20"/>
          <w:lang w:eastAsia="zh-CN"/>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cs="宋体"/>
          <w:kern w:val="0"/>
          <w:sz w:val="21"/>
          <w:szCs w:val="21"/>
          <w:lang w:eastAsia="zh-CN"/>
        </w:rPr>
        <w:t>钢丝绳缆、带，吊装带，吊索具，索具设备(资质范围内除外)的生产；建材(铝板)、纺织品的销售</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吉洁</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bookmarkStart w:id="1" w:name="_GoBack"/>
      <w:bookmarkEnd w:id="1"/>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2019.12.26</w:t>
      </w:r>
      <w:r>
        <w:rPr>
          <w:rFonts w:ascii="宋体" w:hAnsi="宋体"/>
          <w:b/>
          <w:color w:val="000000"/>
        </w:rPr>
        <w:t xml:space="preserve"> </w:t>
      </w:r>
    </w:p>
    <w:p>
      <w:pPr>
        <w:tabs>
          <w:tab w:val="left" w:pos="645"/>
        </w:tabs>
        <w:spacing w:afterLines="50" w:line="360" w:lineRule="exact"/>
        <w:ind w:firstLine="261" w:firstLineChars="100"/>
        <w:rPr>
          <w:rFonts w:hint="eastAsia" w:ascii="宋体" w:hAnsi="宋体"/>
          <w:b/>
          <w:bCs/>
          <w:color w:val="000000"/>
          <w:sz w:val="26"/>
          <w:szCs w:val="26"/>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ascii="宋体" w:hAnsi="宋体" w:eastAsia="隶书"/>
          <w:sz w:val="21"/>
          <w:szCs w:val="21"/>
          <w:lang w:eastAsia="zh-CN"/>
        </w:rPr>
        <w:t>赛亚泽索具保定有限公司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356"/>
        <w:gridCol w:w="301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35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301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识别的外包过程不符</w:t>
            </w:r>
          </w:p>
        </w:tc>
        <w:tc>
          <w:tcPr>
            <w:tcW w:w="3013" w:type="dxa"/>
            <w:vAlign w:val="center"/>
          </w:tcPr>
          <w:p>
            <w:pPr>
              <w:pStyle w:val="4"/>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识别的特殊过程不符</w:t>
            </w:r>
          </w:p>
        </w:tc>
        <w:tc>
          <w:tcPr>
            <w:tcW w:w="3013" w:type="dxa"/>
            <w:vAlign w:val="center"/>
          </w:tcPr>
          <w:p>
            <w:pPr>
              <w:pStyle w:val="4"/>
              <w:pBdr>
                <w:bottom w:val="none" w:color="auto" w:sz="0" w:space="0"/>
              </w:pBdr>
              <w:ind w:right="600"/>
              <w:jc w:val="both"/>
              <w:rPr>
                <w:color w:val="000000"/>
                <w:sz w:val="21"/>
                <w:szCs w:val="21"/>
              </w:rPr>
            </w:pPr>
            <w:r>
              <w:rPr>
                <w:rFonts w:hint="eastAsia"/>
                <w:color w:val="000000"/>
                <w:sz w:val="21"/>
                <w:szCs w:val="21"/>
                <w:lang w:val="en-US" w:eastAsia="zh-CN"/>
              </w:rPr>
              <w:t>GB/T19001-2016</w:t>
            </w: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提供的流程图不符</w:t>
            </w:r>
          </w:p>
        </w:tc>
        <w:tc>
          <w:tcPr>
            <w:tcW w:w="3013" w:type="dxa"/>
            <w:vAlign w:val="center"/>
          </w:tcPr>
          <w:p>
            <w:pPr>
              <w:pStyle w:val="4"/>
              <w:pBdr>
                <w:bottom w:val="none" w:color="auto" w:sz="0" w:space="0"/>
              </w:pBdr>
              <w:ind w:right="600"/>
              <w:jc w:val="both"/>
              <w:rPr>
                <w:color w:val="000000"/>
                <w:sz w:val="21"/>
                <w:szCs w:val="21"/>
              </w:rPr>
            </w:pPr>
            <w:r>
              <w:rPr>
                <w:rFonts w:hint="eastAsia"/>
                <w:color w:val="000000"/>
                <w:sz w:val="21"/>
                <w:szCs w:val="21"/>
                <w:lang w:val="en-US" w:eastAsia="zh-CN"/>
              </w:rPr>
              <w:t>GB/T19001-2016</w:t>
            </w: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356" w:type="dxa"/>
            <w:vAlign w:val="center"/>
          </w:tcPr>
          <w:p>
            <w:pPr>
              <w:pStyle w:val="4"/>
              <w:pBdr>
                <w:bottom w:val="none" w:color="auto" w:sz="0" w:space="0"/>
              </w:pBdr>
              <w:tabs>
                <w:tab w:val="center" w:pos="5737"/>
                <w:tab w:val="clear" w:pos="4153"/>
              </w:tabs>
              <w:jc w:val="both"/>
              <w:rPr>
                <w:color w:val="000000"/>
                <w:sz w:val="24"/>
                <w:szCs w:val="24"/>
              </w:rPr>
            </w:pPr>
          </w:p>
        </w:tc>
        <w:tc>
          <w:tcPr>
            <w:tcW w:w="3013"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356" w:type="dxa"/>
            <w:vAlign w:val="center"/>
          </w:tcPr>
          <w:p>
            <w:pPr>
              <w:pStyle w:val="4"/>
              <w:pBdr>
                <w:bottom w:val="none" w:color="auto" w:sz="0" w:space="0"/>
              </w:pBdr>
              <w:tabs>
                <w:tab w:val="center" w:pos="5737"/>
                <w:tab w:val="clear" w:pos="4153"/>
              </w:tabs>
              <w:jc w:val="both"/>
              <w:rPr>
                <w:color w:val="000000"/>
                <w:sz w:val="24"/>
                <w:szCs w:val="24"/>
              </w:rPr>
            </w:pPr>
          </w:p>
        </w:tc>
        <w:tc>
          <w:tcPr>
            <w:tcW w:w="3013"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rFonts w:hint="eastAsia"/>
                <w:b/>
                <w:color w:val="000000"/>
                <w:spacing w:val="-10"/>
                <w:szCs w:val="21"/>
                <w:lang w:val="en-US" w:eastAsia="zh-CN"/>
              </w:rPr>
              <w:t xml:space="preserve"> </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w:pict>
        <v:shape id="文本框 1" o:spid="_x0000_s4098"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2E07729"/>
    <w:rsid w:val="2BD14C58"/>
    <w:rsid w:val="30141EE3"/>
    <w:rsid w:val="41204483"/>
    <w:rsid w:val="49916B26"/>
    <w:rsid w:val="4E7F1263"/>
    <w:rsid w:val="59C371AE"/>
    <w:rsid w:val="64381A15"/>
    <w:rsid w:val="6E3043BF"/>
    <w:rsid w:val="78F822C8"/>
    <w:rsid w:val="7E1377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qFormat/>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1016</Words>
  <Characters>5794</Characters>
  <Lines>48</Lines>
  <Paragraphs>13</Paragraphs>
  <TotalTime>0</TotalTime>
  <ScaleCrop>false</ScaleCrop>
  <LinksUpToDate>false</LinksUpToDate>
  <CharactersWithSpaces>6797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2020-02-02T07:00:27Z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