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重庆悦能建筑工程有限公司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黎显华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80" w:lineRule="exact"/>
              <w:ind w:firstLine="210" w:firstLineChars="100"/>
              <w:textAlignment w:val="auto"/>
              <w:rPr>
                <w:rFonts w:ascii="方正仿宋简体" w:eastAsia="方正仿宋简体"/>
                <w:b/>
                <w:highlight w:val="none"/>
              </w:rPr>
            </w:pPr>
            <w:bookmarkStart w:id="10" w:name="E勾选Add1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查在用检测设备校准或检定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</w:rPr>
              <w:t>不能提供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在用检具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</w:rPr>
              <w:t>漆膜仪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</w:rPr>
              <w:t>有效校准或检定证书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不符合：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 50430-2017标准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11.4.2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条款，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施工企业对检测设备的管理应符合下列规定：应按规定的周期检定或校准检测设备，标识相应状态，确保其在有效期内使用，并保存检定或校准记录；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Ansi="宋体"/>
                <w:b/>
                <w:sz w:val="22"/>
                <w:szCs w:val="22"/>
                <w:highlight w:val="none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  <w:highlight w:val="none"/>
              </w:rPr>
              <w:t>事实</w:t>
            </w:r>
            <w:r>
              <w:rPr>
                <w:rFonts w:hAnsi="宋体"/>
                <w:b/>
                <w:sz w:val="22"/>
                <w:szCs w:val="22"/>
                <w:highlight w:val="none"/>
              </w:rPr>
              <w:t>不符合</w:t>
            </w:r>
            <w:r>
              <w:rPr>
                <w:rFonts w:hAnsi="宋体"/>
                <w:b/>
                <w:sz w:val="20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11.4.2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 条款:</w:t>
            </w:r>
          </w:p>
          <w:bookmarkEnd w:id="10"/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■</w:t>
            </w:r>
            <w:r>
              <w:rPr>
                <w:b/>
                <w:color w:val="auto"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■</w:t>
            </w:r>
            <w:r>
              <w:rPr>
                <w:rFonts w:hint="eastAsia"/>
                <w:b/>
                <w:color w:val="auto"/>
                <w:szCs w:val="21"/>
              </w:rPr>
              <w:t>5</w:t>
            </w:r>
            <w:r>
              <w:rPr>
                <w:b/>
                <w:color w:val="auto"/>
                <w:szCs w:val="21"/>
              </w:rPr>
              <w:t>0430</w:t>
            </w:r>
            <w:r>
              <w:rPr>
                <w:rFonts w:hint="eastAsia"/>
                <w:b/>
                <w:color w:val="auto"/>
                <w:szCs w:val="21"/>
              </w:rPr>
              <w:t>■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zCs w:val="21"/>
              </w:rPr>
              <w:t>■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Cs w:val="21"/>
              </w:rPr>
              <w:t>■初审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■</w:t>
            </w:r>
            <w:r>
              <w:rPr>
                <w:rFonts w:hint="eastAsia"/>
                <w:b/>
                <w:color w:val="auto"/>
                <w:szCs w:val="21"/>
              </w:rPr>
              <w:t xml:space="preserve">第( 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ascii="方正仿宋简体" w:eastAsia="方正仿宋简体"/>
                <w:b/>
                <w:color w:val="auto"/>
              </w:rPr>
              <w:t>重庆悦能建筑工程有限公司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邹园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  <w:color w:val="auto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2022.8.10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36" w:lineRule="auto"/>
              <w:textAlignment w:val="auto"/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查：作业人员健康体检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未能提供作业人员的健康体检记录。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  <w:highlight w:val="none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  <w:highlight w:val="none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  <w:highlight w:val="none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  <w:highlight w:val="none"/>
              </w:rPr>
              <w:t>不符合</w:t>
            </w:r>
            <w:r>
              <w:rPr>
                <w:rFonts w:hAnsi="宋体"/>
                <w:b/>
                <w:color w:val="auto"/>
                <w:sz w:val="20"/>
                <w:highlight w:val="none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  <w:t xml:space="preserve">GB/T 50430-2017标准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</w:rPr>
              <w:t>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36" w:lineRule="auto"/>
              <w:ind w:firstLine="1767" w:firstLineChars="800"/>
              <w:textAlignment w:val="auto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9.1.1条款：“为了实现职业健康安全管理体系的预期结果，过程宜予以监视、测量和分析：a)监视和测量内容的示例可包括（但不限于）：1)职业健康抱怨、工作人员的健康（通过监护）和工作环境；”的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日  期：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  </w:t>
            </w:r>
            <w:bookmarkStart w:id="11" w:name="_GoBack"/>
            <w:bookmarkEnd w:id="11"/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04E4223"/>
    <w:rsid w:val="03C271D3"/>
    <w:rsid w:val="3A836438"/>
    <w:rsid w:val="55634F23"/>
    <w:rsid w:val="674735E6"/>
    <w:rsid w:val="71712356"/>
    <w:rsid w:val="75BC0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883</Words>
  <Characters>1185</Characters>
  <Lines>6</Lines>
  <Paragraphs>1</Paragraphs>
  <TotalTime>1</TotalTime>
  <ScaleCrop>false</ScaleCrop>
  <LinksUpToDate>false</LinksUpToDate>
  <CharactersWithSpaces>1596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2022-07-26T03:26:31Z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