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0314-2021-QE-2022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江西添瑞高分子新材料有限公司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江西添瑞高分子新材料有限公司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江西省宜春市樟树市洲上乡工业园88号</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江西省宜春市樟树市张家山工业园区园区中路</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胡藏粮</w:t>
            </w:r>
            <w:bookmarkEnd w:id="10"/>
          </w:p>
        </w:tc>
        <w:tc>
          <w:tcPr>
            <w:tcW w:w="1313" w:type="dxa"/>
            <w:vAlign w:val="center"/>
          </w:tcPr>
          <w:p>
            <w:r>
              <w:rPr>
                <w:rFonts w:hint="eastAsia"/>
              </w:rPr>
              <w:t>电话.</w:t>
            </w:r>
          </w:p>
        </w:tc>
        <w:tc>
          <w:tcPr>
            <w:tcW w:w="2180" w:type="dxa"/>
            <w:vAlign w:val="center"/>
          </w:tcPr>
          <w:p>
            <w:bookmarkStart w:id="11" w:name="联系人电话"/>
            <w:r>
              <w:t>17821909159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黄瑞林</w:t>
            </w:r>
            <w:bookmarkEnd w:id="13"/>
          </w:p>
        </w:tc>
        <w:tc>
          <w:tcPr>
            <w:tcW w:w="1313" w:type="dxa"/>
            <w:vAlign w:val="center"/>
          </w:tcPr>
          <w:p>
            <w:r>
              <w:rPr>
                <w:rFonts w:hint="eastAsia"/>
              </w:rPr>
              <w:t>管理者代表</w:t>
            </w:r>
          </w:p>
        </w:tc>
        <w:tc>
          <w:tcPr>
            <w:tcW w:w="2180" w:type="dxa"/>
          </w:tcPr>
          <w:p>
            <w:bookmarkStart w:id="14" w:name="管理者代表"/>
            <w:r>
              <w:t>陈爱英</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破碎—配料—混合—熔融挤出—切割—筛分—抽检—包装—入库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2022年08月15日 上午至2022年08月16日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sym w:font="Wingdings 2" w:char="0052"/>
            </w:r>
            <w:r>
              <w:rPr>
                <w:rFonts w:hint="eastAsia"/>
              </w:rPr>
              <w:t>其他：确定是否恢复认证注册资格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color w:val="FF0000"/>
                <w:lang w:val="en-US" w:eastAsia="zh-CN"/>
              </w:rPr>
              <w:t>+恢复</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Q：高分子新材料（黑色母粒）的生产</w:t>
            </w:r>
          </w:p>
          <w:p>
            <w:r>
              <w:t>E：高分子新材料（黑色母粒）的生产所涉及场所的相关环境管理活动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Q：12.01.06</w:t>
            </w:r>
          </w:p>
          <w:p>
            <w:r>
              <w:t>E：12.01.06</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8.3。高分子新材料（黑色母粒）的生产及其所涉及的相关管理活动均参照行业标准、企业规范及客户提供的尺寸、工艺要求组织生产，其生产过程不涉及GB/T19001-2016/ISO 9001:2015标准中8.3条款内容，其不适用的要求不影响公司确保其产品和服务合格的能力和责任，对增强顾客满意也不会产生影响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体系文件实施时间</w:t>
            </w:r>
          </w:p>
        </w:tc>
        <w:tc>
          <w:tcPr>
            <w:tcW w:w="2733" w:type="dxa"/>
          </w:tcPr>
          <w:p>
            <w:r>
              <w:rPr>
                <w:rFonts w:hint="eastAsia"/>
              </w:rPr>
              <w:t>2020年12月01日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2021年05月12日 上午至2021年05月14日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江西添瑞高分子新材料有限公司</w:t>
            </w:r>
          </w:p>
          <w:p>
            <w:pPr>
              <w:pStyle w:val="2"/>
              <w:rPr>
                <w:lang w:val="de-DE" w:eastAsia="ja-JP"/>
              </w:rPr>
            </w:pPr>
            <w:r>
              <w:rPr>
                <w:rFonts w:hint="eastAsia"/>
                <w:lang w:val="de-DE" w:eastAsia="ja-JP"/>
              </w:rPr>
              <w:t>江西省宜春市樟树市洲上乡工业园88号</w:t>
            </w:r>
          </w:p>
        </w:tc>
        <w:tc>
          <w:tcPr>
            <w:tcW w:w="2267" w:type="dxa"/>
          </w:tcPr>
          <w:p>
            <w:pPr>
              <w:rPr>
                <w:lang w:val="de-DE" w:eastAsia="ja-JP"/>
              </w:rPr>
            </w:pPr>
            <w:r>
              <w:rPr>
                <w:rFonts w:hint="eastAsia"/>
                <w:lang w:val="de-DE" w:eastAsia="ja-JP"/>
              </w:rPr>
              <w:t>江西省宜春市樟树市张家山工业园区园区中路</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rFonts w:hint="eastAsia"/>
                <w:lang w:eastAsia="ja-JP"/>
              </w:rPr>
              <w:t>高分子新材料（黑色母粒）的生产</w:t>
            </w:r>
          </w:p>
        </w:tc>
        <w:tc>
          <w:tcPr>
            <w:tcW w:w="669" w:type="dxa"/>
            <w:vAlign w:val="center"/>
          </w:tcPr>
          <w:p>
            <w:pPr>
              <w:rPr>
                <w:rFonts w:hint="default" w:eastAsia="宋体"/>
                <w:lang w:val="en-US" w:eastAsia="zh-CN"/>
              </w:rPr>
            </w:pPr>
            <w:r>
              <w:rPr>
                <w:rFonts w:hint="eastAsia"/>
                <w:lang w:val="en-US" w:eastAsia="zh-CN"/>
              </w:rPr>
              <w:t>QE</w:t>
            </w:r>
          </w:p>
        </w:tc>
        <w:tc>
          <w:tcPr>
            <w:tcW w:w="668" w:type="dxa"/>
            <w:shd w:val="clear" w:color="auto" w:fill="FFFFFF"/>
          </w:tcPr>
          <w:p>
            <w:pPr>
              <w:rPr>
                <w:rFonts w:hint="eastAsia" w:eastAsia="宋体"/>
                <w:lang w:eastAsia="zh-CN"/>
              </w:rPr>
            </w:pPr>
            <w:r>
              <w:rPr>
                <w:rFonts w:hint="eastAsia"/>
                <w:lang w:eastAsia="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w:t>
            </w:r>
            <w:r>
              <w:rPr>
                <w:rFonts w:hint="eastAsia"/>
              </w:rPr>
              <w:sym w:font="Wingdings 2" w:char="00A3"/>
            </w:r>
            <w:r>
              <w:rPr>
                <w:rFonts w:hint="eastAsia"/>
              </w:rPr>
              <w:t>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肖志良</w:t>
            </w:r>
          </w:p>
        </w:tc>
        <w:tc>
          <w:tcPr>
            <w:tcW w:w="1089" w:type="dxa"/>
            <w:vAlign w:val="center"/>
          </w:tcPr>
          <w:p>
            <w:r>
              <w:t>组员</w:t>
            </w:r>
          </w:p>
        </w:tc>
        <w:tc>
          <w:tcPr>
            <w:tcW w:w="711" w:type="dxa"/>
            <w:vAlign w:val="center"/>
          </w:tcPr>
          <w:p>
            <w:r>
              <w:t>男</w:t>
            </w:r>
          </w:p>
        </w:tc>
        <w:tc>
          <w:tcPr>
            <w:tcW w:w="3870" w:type="dxa"/>
            <w:vAlign w:val="center"/>
          </w:tcPr>
          <w:p>
            <w:r>
              <w:t>ISC-JSZJ-281</w:t>
            </w:r>
          </w:p>
          <w:p>
            <w:r>
              <w:t>ISC-JSZJ-281</w:t>
            </w:r>
          </w:p>
          <w:p>
            <w:r>
              <w:t>江西广源新材料有限公司</w:t>
            </w:r>
          </w:p>
        </w:tc>
        <w:tc>
          <w:tcPr>
            <w:tcW w:w="2179" w:type="dxa"/>
            <w:vAlign w:val="center"/>
          </w:tcPr>
          <w:p>
            <w:r>
              <w:t>Q:12.01.06</w:t>
            </w:r>
          </w:p>
          <w:p>
            <w:r>
              <w:t>E:12.01.06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监督审核+恢复□再认证)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145415</wp:posOffset>
                  </wp:positionH>
                  <wp:positionV relativeFrom="paragraph">
                    <wp:posOffset>37465</wp:posOffset>
                  </wp:positionV>
                  <wp:extent cx="949960" cy="572770"/>
                  <wp:effectExtent l="0" t="0" r="2540" b="1778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49960" cy="57277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质量方针：科技先行、质量为本、顾客满意、持续改进</w:t>
            </w:r>
          </w:p>
          <w:p>
            <w:pPr>
              <w:shd w:val="clear" w:color="auto" w:fill="C7DAF1" w:themeFill="text2" w:themeFillTint="32"/>
              <w:rPr>
                <w:u w:val="single"/>
              </w:rPr>
            </w:pPr>
            <w:r>
              <w:rPr>
                <w:rFonts w:hint="eastAsia"/>
                <w:u w:val="single"/>
              </w:rPr>
              <w:t>环境方针：遵纪守法，保障员工权利；污染预防，承担社会责任</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3"/>
              <w:gridCol w:w="306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3" w:type="dxa"/>
                </w:tcPr>
                <w:p>
                  <w:pPr>
                    <w:shd w:val="clear" w:color="auto" w:fill="C7DAF1" w:themeFill="text2" w:themeFillTint="32"/>
                  </w:pPr>
                  <w:r>
                    <w:rPr>
                      <w:rFonts w:hint="eastAsia"/>
                    </w:rPr>
                    <w:t>主要的风险或机遇描述</w:t>
                  </w:r>
                </w:p>
              </w:tc>
              <w:tc>
                <w:tcPr>
                  <w:tcW w:w="3062"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pPr>
                    <w:shd w:val="clear" w:color="auto" w:fill="C7DAF1" w:themeFill="text2" w:themeFillTint="32"/>
                    <w:rPr>
                      <w:rFonts w:hint="eastAsia" w:eastAsia="宋体"/>
                      <w:lang w:eastAsia="zh-CN"/>
                    </w:rPr>
                  </w:pPr>
                  <w:r>
                    <w:rPr>
                      <w:rFonts w:hint="eastAsia"/>
                      <w:lang w:eastAsia="zh-CN"/>
                    </w:rPr>
                    <w:t>国家政策对行业利好</w:t>
                  </w:r>
                </w:p>
              </w:tc>
              <w:tc>
                <w:tcPr>
                  <w:tcW w:w="3062"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pPr>
                    <w:shd w:val="clear" w:color="auto" w:fill="C7DAF1" w:themeFill="text2" w:themeFillTint="32"/>
                    <w:rPr>
                      <w:rFonts w:hint="eastAsia" w:eastAsia="宋体"/>
                      <w:lang w:eastAsia="zh-CN"/>
                    </w:rPr>
                  </w:pPr>
                  <w:r>
                    <w:rPr>
                      <w:rFonts w:hint="eastAsia"/>
                      <w:lang w:eastAsia="zh-CN"/>
                    </w:rPr>
                    <w:t>市场竞争、原材料价格变动</w:t>
                  </w:r>
                </w:p>
              </w:tc>
              <w:tc>
                <w:tcPr>
                  <w:tcW w:w="3062"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pPr>
                    <w:shd w:val="clear" w:color="auto" w:fill="C7DAF1" w:themeFill="text2" w:themeFillTint="32"/>
                  </w:pPr>
                </w:p>
              </w:tc>
              <w:tc>
                <w:tcPr>
                  <w:tcW w:w="3062"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pPr>
                    <w:shd w:val="clear" w:color="auto" w:fill="C7DAF1" w:themeFill="text2" w:themeFillTint="32"/>
                  </w:pPr>
                </w:p>
              </w:tc>
              <w:tc>
                <w:tcPr>
                  <w:tcW w:w="3062"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3177"/>
              <w:gridCol w:w="12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77"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0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40"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tcPr>
                <w:p>
                  <w:pPr>
                    <w:shd w:val="clear" w:color="auto" w:fill="C7DAF1" w:themeFill="text2" w:themeFillTint="32"/>
                  </w:pPr>
                  <w:r>
                    <w:rPr>
                      <w:rFonts w:hint="eastAsia"/>
                    </w:rPr>
                    <w:t>产品出厂合格率100%；</w:t>
                  </w:r>
                </w:p>
              </w:tc>
              <w:tc>
                <w:tcPr>
                  <w:tcW w:w="3177" w:type="dxa"/>
                  <w:shd w:val="clear" w:color="auto" w:fill="auto"/>
                  <w:vAlign w:val="center"/>
                </w:tcPr>
                <w:p>
                  <w:pPr>
                    <w:shd w:val="clear" w:color="auto" w:fill="C7DAF1" w:themeFill="text2" w:themeFillTint="32"/>
                    <w:rPr>
                      <w:lang w:val="en-GB"/>
                    </w:rPr>
                  </w:pPr>
                  <w:r>
                    <w:rPr>
                      <w:rFonts w:hint="eastAsia"/>
                      <w:lang w:val="en-GB"/>
                    </w:rPr>
                    <w:t>产品出厂合格率=出厂的合格产品数/出厂的全部产品数×100%</w:t>
                  </w:r>
                </w:p>
              </w:tc>
              <w:tc>
                <w:tcPr>
                  <w:tcW w:w="120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生产部</w:t>
                  </w:r>
                </w:p>
              </w:tc>
              <w:tc>
                <w:tcPr>
                  <w:tcW w:w="1640" w:type="dxa"/>
                  <w:shd w:val="clear" w:color="auto" w:fill="auto"/>
                  <w:vAlign w:val="center"/>
                </w:tcPr>
                <w:p>
                  <w:pPr>
                    <w:shd w:val="clear" w:color="auto" w:fill="C7DAF1" w:themeFill="text2"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tcPr>
                <w:p>
                  <w:pPr>
                    <w:shd w:val="clear" w:color="auto" w:fill="C7DAF1" w:themeFill="text2" w:themeFillTint="32"/>
                  </w:pPr>
                  <w:r>
                    <w:rPr>
                      <w:rFonts w:hint="eastAsia"/>
                    </w:rPr>
                    <w:t>顾客满意度92分以上</w:t>
                  </w:r>
                </w:p>
              </w:tc>
              <w:tc>
                <w:tcPr>
                  <w:tcW w:w="3177" w:type="dxa"/>
                  <w:shd w:val="clear" w:color="auto" w:fill="auto"/>
                  <w:vAlign w:val="center"/>
                </w:tcPr>
                <w:p>
                  <w:pPr>
                    <w:shd w:val="clear" w:color="auto" w:fill="C7DAF1" w:themeFill="text2" w:themeFillTint="32"/>
                    <w:rPr>
                      <w:rFonts w:ascii="宋体" w:hAnsi="宋体"/>
                    </w:rPr>
                  </w:pPr>
                  <w:r>
                    <w:rPr>
                      <w:rFonts w:hint="eastAsia"/>
                      <w:lang w:val="en-GB"/>
                    </w:rPr>
                    <w:t>顾客满意度=调查单位中满意总分数÷调查单位数</w:t>
                  </w:r>
                </w:p>
              </w:tc>
              <w:tc>
                <w:tcPr>
                  <w:tcW w:w="1200" w:type="dxa"/>
                  <w:shd w:val="clear" w:color="auto" w:fill="auto"/>
                  <w:vAlign w:val="center"/>
                </w:tcPr>
                <w:p>
                  <w:pPr>
                    <w:shd w:val="clear" w:color="auto" w:fill="C7DAF1" w:themeFill="text2" w:themeFillTint="32"/>
                    <w:rPr>
                      <w:rFonts w:ascii="宋体" w:hAnsi="宋体"/>
                    </w:rPr>
                  </w:pPr>
                  <w:r>
                    <w:rPr>
                      <w:rFonts w:hint="eastAsia" w:ascii="宋体" w:hAnsi="宋体"/>
                    </w:rPr>
                    <w:t>综合管理部</w:t>
                  </w:r>
                </w:p>
              </w:tc>
              <w:tc>
                <w:tcPr>
                  <w:tcW w:w="1640" w:type="dxa"/>
                  <w:shd w:val="clear" w:color="auto" w:fill="auto"/>
                  <w:vAlign w:val="center"/>
                </w:tcPr>
                <w:p>
                  <w:pPr>
                    <w:shd w:val="clear" w:color="auto" w:fill="C7DAF1" w:themeFill="text2" w:themeFillTint="32"/>
                    <w:jc w:val="center"/>
                    <w:rPr>
                      <w:rFonts w:hint="eastAsia" w:ascii="宋体" w:hAnsi="宋体" w:eastAsia="宋体"/>
                      <w:lang w:eastAsia="zh-CN"/>
                    </w:rPr>
                  </w:pPr>
                  <w:r>
                    <w:rPr>
                      <w:rFonts w:hint="eastAsia" w:ascii="宋体" w:hAnsi="宋体"/>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tcPr>
                <w:p>
                  <w:pPr>
                    <w:shd w:val="clear" w:color="auto" w:fill="C7DAF1" w:themeFill="text2" w:themeFillTint="32"/>
                  </w:pPr>
                </w:p>
              </w:tc>
              <w:tc>
                <w:tcPr>
                  <w:tcW w:w="3177" w:type="dxa"/>
                  <w:shd w:val="clear" w:color="auto" w:fill="auto"/>
                  <w:vAlign w:val="center"/>
                </w:tcPr>
                <w:p>
                  <w:pPr>
                    <w:shd w:val="clear" w:color="auto" w:fill="C7DAF1" w:themeFill="text2" w:themeFillTint="32"/>
                    <w:rPr>
                      <w:rFonts w:ascii="宋体" w:hAnsi="宋体"/>
                    </w:rPr>
                  </w:pPr>
                </w:p>
              </w:tc>
              <w:tc>
                <w:tcPr>
                  <w:tcW w:w="1200"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高混机、冷混机、上料机、破碎机、挤出机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游标卡尺、钢卷尺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7"/>
              <w:gridCol w:w="2331"/>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7" w:type="dxa"/>
                </w:tcPr>
                <w:p>
                  <w:pPr>
                    <w:shd w:val="clear" w:color="auto" w:fill="C7DAF1" w:themeFill="text2" w:themeFillTint="32"/>
                    <w:jc w:val="left"/>
                  </w:pPr>
                  <w:r>
                    <w:rPr>
                      <w:rFonts w:hint="eastAsia"/>
                    </w:rPr>
                    <w:t>产品/服务名称</w:t>
                  </w:r>
                </w:p>
              </w:tc>
              <w:tc>
                <w:tcPr>
                  <w:tcW w:w="2331" w:type="dxa"/>
                </w:tcPr>
                <w:p>
                  <w:pPr>
                    <w:shd w:val="clear" w:color="auto" w:fill="C7DAF1" w:themeFill="text2" w:themeFillTint="32"/>
                    <w:jc w:val="left"/>
                  </w:pPr>
                  <w:r>
                    <w:rPr>
                      <w:rFonts w:hint="eastAsia"/>
                    </w:rPr>
                    <w:t>关键过程</w:t>
                  </w:r>
                </w:p>
              </w:tc>
              <w:tc>
                <w:tcPr>
                  <w:tcW w:w="2884"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7" w:type="dxa"/>
                </w:tcPr>
                <w:p>
                  <w:pPr>
                    <w:shd w:val="clear" w:color="auto" w:fill="C7DAF1" w:themeFill="text2" w:themeFillTint="32"/>
                    <w:jc w:val="left"/>
                  </w:pPr>
                  <w:r>
                    <w:rPr>
                      <w:rFonts w:hint="eastAsia"/>
                    </w:rPr>
                    <w:t>高分子新材料（黑色母粒）生产</w:t>
                  </w:r>
                </w:p>
              </w:tc>
              <w:tc>
                <w:tcPr>
                  <w:tcW w:w="2331" w:type="dxa"/>
                </w:tcPr>
                <w:p>
                  <w:pPr>
                    <w:shd w:val="clear" w:color="auto" w:fill="C7DAF1" w:themeFill="text2" w:themeFillTint="32"/>
                    <w:jc w:val="left"/>
                  </w:pPr>
                  <w:r>
                    <w:rPr>
                      <w:rFonts w:hint="eastAsia"/>
                    </w:rPr>
                    <w:t>配料、混合、熔融挤出</w:t>
                  </w:r>
                </w:p>
              </w:tc>
              <w:tc>
                <w:tcPr>
                  <w:tcW w:w="2884" w:type="dxa"/>
                </w:tcPr>
                <w:p>
                  <w:pPr>
                    <w:shd w:val="clear" w:color="auto" w:fill="C7DAF1" w:themeFill="text2" w:themeFillTint="32"/>
                    <w:jc w:val="left"/>
                    <w:rPr>
                      <w:rFonts w:hint="eastAsia" w:eastAsia="宋体"/>
                      <w:lang w:eastAsia="zh-CN"/>
                    </w:rPr>
                  </w:pPr>
                  <w:r>
                    <w:rPr>
                      <w:rFonts w:hint="eastAsia"/>
                      <w:lang w:eastAsia="zh-CN"/>
                    </w:rPr>
                    <w:t>重量、温度、电流、电压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7" w:type="dxa"/>
                </w:tcPr>
                <w:p>
                  <w:pPr>
                    <w:shd w:val="clear" w:color="auto" w:fill="C7DAF1" w:themeFill="text2" w:themeFillTint="32"/>
                    <w:jc w:val="left"/>
                  </w:pPr>
                </w:p>
              </w:tc>
              <w:tc>
                <w:tcPr>
                  <w:tcW w:w="2331" w:type="dxa"/>
                </w:tcPr>
                <w:p>
                  <w:pPr>
                    <w:shd w:val="clear" w:color="auto" w:fill="C7DAF1" w:themeFill="text2" w:themeFillTint="32"/>
                    <w:jc w:val="left"/>
                  </w:pPr>
                </w:p>
              </w:tc>
              <w:tc>
                <w:tcPr>
                  <w:tcW w:w="2884"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7" w:type="dxa"/>
                </w:tcPr>
                <w:p>
                  <w:pPr>
                    <w:shd w:val="clear" w:color="auto" w:fill="C7DAF1" w:themeFill="text2" w:themeFillTint="32"/>
                    <w:jc w:val="left"/>
                  </w:pPr>
                </w:p>
              </w:tc>
              <w:tc>
                <w:tcPr>
                  <w:tcW w:w="2331" w:type="dxa"/>
                </w:tcPr>
                <w:p>
                  <w:pPr>
                    <w:shd w:val="clear" w:color="auto" w:fill="C7DAF1" w:themeFill="text2" w:themeFillTint="32"/>
                    <w:jc w:val="left"/>
                  </w:pPr>
                </w:p>
              </w:tc>
              <w:tc>
                <w:tcPr>
                  <w:tcW w:w="2884"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需要确认的过程：熔融挤出，</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通过年度策划于2022年5月16-17日实施了质量管理体系内部审核，对质量管理体系的符合性和有效性进行了审核。内审发现的项不符合在本次审核前已完成整改。在公司内完成的这些审核是可信的。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最高管理者已按策划的时间间隔，在2022年5月27日对组织的质量管理体系进行了评审，以确保其持续的适宜性、充分性和有效性；管理评审输入、输出均按要求提供。并对提出的改进措施进行了落实。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180"/>
        <w:gridCol w:w="8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A3"/>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质量方针：科技先行、质量为本、顾客满意、持续改进</w:t>
            </w:r>
          </w:p>
          <w:p>
            <w:pPr>
              <w:shd w:val="clear" w:color="auto" w:fill="EBF1DE" w:themeFill="accent3" w:themeFillTint="32"/>
              <w:rPr>
                <w:u w:val="single"/>
              </w:rPr>
            </w:pPr>
            <w:r>
              <w:rPr>
                <w:rFonts w:hint="eastAsia"/>
                <w:u w:val="single"/>
              </w:rPr>
              <w:t>环境方针：遵纪守法，保障员工权利；污染预防，承担社会责任</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184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7" w:type="dxa"/>
                </w:tcPr>
                <w:p>
                  <w:pPr>
                    <w:shd w:val="clear" w:color="auto" w:fill="EBF1DE" w:themeFill="accent3" w:themeFillTint="32"/>
                  </w:pPr>
                  <w:r>
                    <w:rPr>
                      <w:rFonts w:hint="eastAsia"/>
                    </w:rPr>
                    <w:t>主要的风险或机遇描述</w:t>
                  </w:r>
                </w:p>
              </w:tc>
              <w:tc>
                <w:tcPr>
                  <w:tcW w:w="184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hd w:val="clear" w:color="auto" w:fill="EBF1DE" w:themeFill="accent3" w:themeFillTint="32"/>
                  </w:pPr>
                  <w:r>
                    <w:rPr>
                      <w:rFonts w:hint="eastAsia"/>
                    </w:rPr>
                    <w:t>噪声排放、潜在火灾/爆炸、粉尘排放、固废排放</w:t>
                  </w:r>
                </w:p>
              </w:tc>
              <w:tc>
                <w:tcPr>
                  <w:tcW w:w="1848" w:type="dxa"/>
                </w:tcPr>
                <w:p>
                  <w:pPr>
                    <w:shd w:val="clear" w:color="auto" w:fill="EBF1DE" w:themeFill="accent3" w:themeFillTint="32"/>
                    <w:rPr>
                      <w:rFonts w:hint="eastAsia" w:eastAsia="宋体"/>
                      <w:lang w:eastAsia="zh-CN"/>
                    </w:rPr>
                  </w:pPr>
                  <w:r>
                    <w:rPr>
                      <w:rFonts w:hint="eastAsia"/>
                      <w:lang w:eastAsia="zh-CN"/>
                    </w:rPr>
                    <w:t>建立管理体系</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hd w:val="clear" w:color="auto" w:fill="EBF1DE" w:themeFill="accent3" w:themeFillTint="32"/>
                  </w:pPr>
                </w:p>
              </w:tc>
              <w:tc>
                <w:tcPr>
                  <w:tcW w:w="1848"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7"/>
              <w:gridCol w:w="2100"/>
              <w:gridCol w:w="111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7"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10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19"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540"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7" w:type="dxa"/>
                  <w:shd w:val="clear" w:color="auto" w:fill="auto"/>
                </w:tcPr>
                <w:p>
                  <w:pPr>
                    <w:shd w:val="clear" w:color="auto" w:fill="EBF1DE" w:themeFill="accent3" w:themeFillTint="32"/>
                  </w:pPr>
                  <w:r>
                    <w:rPr>
                      <w:rFonts w:hint="eastAsia"/>
                    </w:rPr>
                    <w:t>固体废弃物分类管理，处理率为100%</w:t>
                  </w:r>
                </w:p>
              </w:tc>
              <w:tc>
                <w:tcPr>
                  <w:tcW w:w="210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w:t>
                  </w:r>
                </w:p>
              </w:tc>
              <w:tc>
                <w:tcPr>
                  <w:tcW w:w="1119"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生产部</w:t>
                  </w:r>
                </w:p>
              </w:tc>
              <w:tc>
                <w:tcPr>
                  <w:tcW w:w="1540"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7" w:type="dxa"/>
                  <w:shd w:val="clear" w:color="auto" w:fill="auto"/>
                </w:tcPr>
                <w:p>
                  <w:pPr>
                    <w:shd w:val="clear" w:color="auto" w:fill="EBF1DE" w:themeFill="accent3" w:themeFillTint="32"/>
                  </w:pPr>
                  <w:r>
                    <w:rPr>
                      <w:rFonts w:hint="eastAsia"/>
                    </w:rPr>
                    <w:t>火灾事故为0</w:t>
                  </w:r>
                </w:p>
              </w:tc>
              <w:tc>
                <w:tcPr>
                  <w:tcW w:w="210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运行控制、应急管理</w:t>
                  </w:r>
                </w:p>
              </w:tc>
              <w:tc>
                <w:tcPr>
                  <w:tcW w:w="1119" w:type="dxa"/>
                  <w:shd w:val="clear" w:color="auto" w:fill="auto"/>
                  <w:vAlign w:val="center"/>
                </w:tcPr>
                <w:p>
                  <w:pPr>
                    <w:shd w:val="clear" w:color="auto" w:fill="EBF1DE" w:themeFill="accent3" w:themeFillTint="32"/>
                    <w:rPr>
                      <w:rFonts w:ascii="宋体" w:hAnsi="宋体"/>
                    </w:rPr>
                  </w:pPr>
                  <w:r>
                    <w:rPr>
                      <w:rFonts w:hint="eastAsia"/>
                      <w:lang w:val="en-GB" w:eastAsia="zh-CN"/>
                    </w:rPr>
                    <w:t>生产部</w:t>
                  </w:r>
                </w:p>
              </w:tc>
              <w:tc>
                <w:tcPr>
                  <w:tcW w:w="1540"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7" w:type="dxa"/>
                  <w:shd w:val="clear" w:color="auto" w:fill="auto"/>
                </w:tcPr>
                <w:p>
                  <w:pPr>
                    <w:shd w:val="clear" w:color="auto" w:fill="EBF1DE" w:themeFill="accent3" w:themeFillTint="32"/>
                  </w:pPr>
                </w:p>
              </w:tc>
              <w:tc>
                <w:tcPr>
                  <w:tcW w:w="2100" w:type="dxa"/>
                  <w:shd w:val="clear" w:color="auto" w:fill="auto"/>
                  <w:vAlign w:val="center"/>
                </w:tcPr>
                <w:p>
                  <w:pPr>
                    <w:shd w:val="clear" w:color="auto" w:fill="EBF1DE" w:themeFill="accent3" w:themeFillTint="32"/>
                    <w:rPr>
                      <w:rFonts w:ascii="宋体" w:hAnsi="宋体"/>
                    </w:rPr>
                  </w:pPr>
                </w:p>
              </w:tc>
              <w:tc>
                <w:tcPr>
                  <w:tcW w:w="1119" w:type="dxa"/>
                  <w:shd w:val="clear" w:color="auto" w:fill="auto"/>
                  <w:vAlign w:val="center"/>
                </w:tcPr>
                <w:p>
                  <w:pPr>
                    <w:shd w:val="clear" w:color="auto" w:fill="EBF1DE" w:themeFill="accent3" w:themeFillTint="32"/>
                    <w:rPr>
                      <w:rFonts w:ascii="宋体" w:hAnsi="宋体"/>
                    </w:rPr>
                  </w:pPr>
                </w:p>
              </w:tc>
              <w:tc>
                <w:tcPr>
                  <w:tcW w:w="1540"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2000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rPr>
            </w:pPr>
            <w:r>
              <w:rPr>
                <w:rFonts w:hint="eastAsia"/>
              </w:rPr>
              <w:t>主要生产设备有：高混机、冷混机、上料机、破碎机、挤出机</w:t>
            </w:r>
          </w:p>
          <w:p>
            <w:pPr>
              <w:shd w:val="clear" w:color="auto" w:fill="EBF1DE" w:themeFill="accent3" w:themeFillTint="32"/>
              <w:rPr>
                <w:rFonts w:hint="eastAsia"/>
              </w:rPr>
            </w:pPr>
            <w:r>
              <w:rPr>
                <w:rFonts w:hint="eastAsia"/>
              </w:rPr>
              <w:t>主要环保设备有：废气处理设施(布袋除尘装置、UV光解+二级活性炭吸附装置)和噪声、固废处置设施等</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游标卡尺、钢卷尺</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eastAsia="zh-CN"/>
                    </w:rPr>
                    <w:t>运行控制、应急管理</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于2022年3月5日进行了的演练；并总结了预案的可行性和有效性。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定期（每年）：2022年3月25日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《环境监测报告》编号：CQHJ检字(2022) 080091号。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通过年度策划于2022年5月16-17日实施了环境管理体系内部审核，对环境管理体系的符合性和有效性进行了审核。内审发现的项不符合在本次审核前已完成整改。在公司内完成的这些审核是可信的。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最高管理者已按策划的时间间隔，在2022年5月27日对组织的环境管理体系进行了评审，以确保其持续的适宜性、充分性和有效性；管理评审输入、输出均按要求提供。并对提出的改进措施进行了落实。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2EF53E15"/>
    <w:rsid w:val="4A575DFF"/>
    <w:rsid w:val="56425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19122</Words>
  <Characters>19929</Characters>
  <Lines>150</Lines>
  <Paragraphs>42</Paragraphs>
  <TotalTime>11</TotalTime>
  <ScaleCrop>false</ScaleCrop>
  <LinksUpToDate>false</LinksUpToDate>
  <CharactersWithSpaces>20052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2022-08-22T01:41:53Z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