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Theme="minorEastAsia" w:hAnsiTheme="minorEastAsia" w:eastAsiaTheme="minorEastAsia"/>
          <w:b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 w:val="0"/>
          <w:color w:val="000000"/>
          <w:sz w:val="32"/>
          <w:szCs w:val="32"/>
        </w:rPr>
        <w:t>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85"/>
        <w:gridCol w:w="1165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20" w:type="dxa"/>
            <w:vMerge w:val="restart"/>
            <w:vAlign w:val="center"/>
          </w:tcPr>
          <w:p>
            <w:pPr>
              <w:spacing w:before="120"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抽样计划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涉及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条款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主管领导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李敏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段淑媛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before="120"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喻荣秋 （远程） 微信视频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2022.7.11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E5.3/6.2/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7.1.2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7.3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7.1.6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/7.5/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cs="Arial" w:asciiTheme="minorEastAsia" w:hAnsiTheme="minorEastAsia" w:eastAsiaTheme="minorEastAsia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组织的岗位、职责和权限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QE5.3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•负责组织协调和督促检查全公司的管理和质量</w:t>
            </w:r>
            <w:bookmarkStart w:id="0" w:name="OLE_LINK29"/>
            <w:r>
              <w:rPr>
                <w:rFonts w:hint="eastAsia"/>
              </w:rPr>
              <w:t>/环境/职业健康安全</w:t>
            </w:r>
            <w:bookmarkEnd w:id="0"/>
            <w:r>
              <w:rPr>
                <w:rFonts w:hint="eastAsia"/>
              </w:rPr>
              <w:t>管理工作；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归口管理质量环境安全管理体系文件、技术标准类文件和其他管理类文件；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bookmarkStart w:id="1" w:name="OLE_LINK17"/>
            <w:r>
              <w:rPr>
                <w:rFonts w:hint="eastAsia"/>
              </w:rPr>
              <w:t xml:space="preserve">•  </w:t>
            </w:r>
            <w:bookmarkEnd w:id="1"/>
            <w:r>
              <w:rPr>
                <w:rFonts w:hint="eastAsia"/>
              </w:rPr>
              <w:t>负责公司档案的管理工作包括组织产品文件和质量/环境/职业健康安全管理体系运行文件的记录的归档管理；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负责公司各类资质的申报、文件的管理更新；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参与对产品要求的评审；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组织技术标准、规范的购置、发放；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bookmarkStart w:id="2" w:name="OLE_LINK19"/>
            <w:r>
              <w:rPr>
                <w:rFonts w:hint="eastAsia"/>
              </w:rPr>
              <w:t xml:space="preserve">•  </w:t>
            </w:r>
            <w:bookmarkEnd w:id="2"/>
            <w:r>
              <w:rPr>
                <w:rFonts w:hint="eastAsia"/>
              </w:rPr>
              <w:t>负责公司日常行政管理包括基础设施和物资资源采购管理；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负责公司人力资源的规划、管理、开发和培训等制度体系的建立、实施和完善；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组织专业技术职称评审和技术岗位、特殊岗位上岗资格评审工作等；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负责公司总体绩效考核体系的建立、组织、实施和完善；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负责质量/环境/职业健康安全管理体系的建立、实施、保持和持续改进工作；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负责质量/环境/职业健康安全管理体系目标分解，负责质量/环境/职业健康安全管理体系运行中的组织、协调、监督、检查工作；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负责公司合规性评价、应急准备和响应工作的统一归口管理；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负责公司质量/环境/职业健康安全管理体系内审和管理评审工作的组织和实施；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负责公司质量/环境/职业健康安全管理体系不符合、纠正和预防工作的统一归口管理；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负责质量/环境/职业健康安全管理体系有关数据的综合分析和改进控制；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•  负责本部门环境因素和危险源的识别和评价，进行必要的更新；</w:t>
            </w:r>
          </w:p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•  负责本部门应急准备和响应计划落实及应急情况的善后处理，包括本部门应急准备的物资管理。</w:t>
            </w:r>
            <w:r>
              <w:rPr>
                <w:rFonts w:hint="eastAsia"/>
                <w:lang w:val="en-US" w:eastAsia="zh-CN"/>
              </w:rPr>
              <w:t>基本符合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管理目标及其实现的策划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QE6.2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公司对管理体系所需的相关职能、层次和过程设定管理目标。</w:t>
            </w:r>
          </w:p>
          <w:p>
            <w:pPr>
              <w:pStyle w:val="2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查见“管理目标分解考核结果（2022年第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季度）”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办公室主要目标及完成情况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部门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目标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计算方法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达成措施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负责人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所需资源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考核周期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考核结果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6985</wp:posOffset>
                  </wp:positionV>
                  <wp:extent cx="7261225" cy="988695"/>
                  <wp:effectExtent l="0" t="0" r="8255" b="1905"/>
                  <wp:wrapNone/>
                  <wp:docPr id="4" name="图片 4" descr="165750013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575001344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22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目标可测量，与公司QEO管理方针一致。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公司规定每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季度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按公司管理目标考核要求统计考核公司管理目标完成情况，提交管理评审会议。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2022年二季度目标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考核，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管理目标均已完成。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基本满足。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Q7.1.2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公司有《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力资源管理程序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根据各部门的需要配备管理体系运行所需的人员，均经过相关培训。目前公司各部门人员配备基本充分，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办公室配备的人员及职能满足体系要求，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基本符合要求。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组织的知识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Q7.1.6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公司确定运行过程所需的知识。</w:t>
            </w:r>
          </w:p>
          <w:p>
            <w:pPr>
              <w:spacing w:line="360" w:lineRule="auto"/>
              <w:ind w:firstLine="523" w:firstLineChars="218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a）内部来源：知识产权；经历；从失败和成功项目得到的经验教训；得到和分享未形成文件的知识和经验，过程、服务的改进结果； </w:t>
            </w:r>
          </w:p>
          <w:p>
            <w:pPr>
              <w:spacing w:line="360" w:lineRule="auto"/>
              <w:ind w:firstLine="523" w:firstLineChars="218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b）外部来源：标准；学术交流；专业会议，从顾客或外部供方收集的知识。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对知识的保持采取文件资料的保存和信息系统存储方式，在公司内部通过传递、交流、培训等方式获取。为获取更多必要的知识采用工作经验总结、顾客意见的采集等。主要是从顾客满意度调查收集的顾客抱怨、反馈等知识。  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 2022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10</w:t>
            </w:r>
            <w:r>
              <w:rPr>
                <w:rFonts w:hint="eastAsia"/>
                <w:szCs w:val="22"/>
              </w:rPr>
              <w:t>日</w:t>
            </w:r>
            <w:r>
              <w:rPr>
                <w:rFonts w:hint="eastAsia"/>
                <w:szCs w:val="22"/>
                <w:lang w:val="en-US" w:eastAsia="zh-CN"/>
              </w:rPr>
              <w:t>公司知识列表，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来源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知识内容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内部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作业指导书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内部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改进措施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内部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成功项目案例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内部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人员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标准文件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顾客需求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国内外展销会</w:t>
            </w:r>
          </w:p>
          <w:p>
            <w:pPr>
              <w:spacing w:line="320" w:lineRule="exact"/>
              <w:ind w:firstLine="420" w:firstLineChars="20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外部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>国内媒体知识报</w:t>
            </w:r>
            <w:r>
              <w:rPr>
                <w:rFonts w:hint="eastAsia"/>
                <w:szCs w:val="22"/>
                <w:lang w:val="en-US" w:eastAsia="zh-CN"/>
              </w:rPr>
              <w:t>道</w:t>
            </w:r>
          </w:p>
          <w:p>
            <w:pPr>
              <w:spacing w:line="320" w:lineRule="exact"/>
              <w:ind w:firstLine="420" w:firstLineChars="20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对上述知识进行了评价。</w:t>
            </w:r>
          </w:p>
          <w:p>
            <w:pPr>
              <w:pStyle w:val="2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基本满足要求。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公司对各岗位能力规定的要求包括了专业技能、岗位资格、能力、工作经验等。</w:t>
            </w:r>
          </w:p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员工工作能力</w:t>
            </w:r>
            <w:r>
              <w:rPr>
                <w:rFonts w:hint="eastAsia"/>
              </w:rPr>
              <w:t>评价表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2022.3.28 从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工作态度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工作技能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工作效率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执行力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工作质量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协作精神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判断力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学习能力，</w:t>
            </w:r>
            <w:r>
              <w:rPr>
                <w:rFonts w:hint="eastAsia"/>
                <w:lang w:val="en-US" w:eastAsia="zh-CN"/>
              </w:rPr>
              <w:t>对段淑媛、马后莹进行了评价，结果分别为95分和91分。 优，完全胜任岗位要求（95-100）分。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抽查《</w:t>
            </w:r>
            <w:r>
              <w:rPr>
                <w:rFonts w:hint="eastAsia"/>
                <w:lang w:val="en-US" w:eastAsia="zh-CN"/>
              </w:rPr>
              <w:t>2022年培训计划</w:t>
            </w:r>
            <w:r>
              <w:rPr>
                <w:rFonts w:hint="eastAsia"/>
              </w:rPr>
              <w:t>》：</w:t>
            </w:r>
          </w:p>
          <w:p>
            <w:pPr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计划日期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培训内容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参加人员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培训对象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培训方式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考核方式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完成情况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QES管理体系贯标培训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回答问题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已完成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2月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公司业务人员能力培训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各部门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内审员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回答问题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已完成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3月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法律法规培训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回答提问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已完成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4月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内审员培训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各部门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内审员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回答问题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已完成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6月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环境因素 危险源识别培训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销售人员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回答问题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已完成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7月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公司目标  方针培训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管理层、各部门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回答提问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环境  安全应急预案培训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回答提问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12月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公司管理制度、企业文化培训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各部门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全体人员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听课、讨论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回答问题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查见培训记录：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QES管理体系贯标培训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2022.1.18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公司业务人员能力培训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2022.2.25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法律法规培训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2022.3.20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内审员培训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2022.4.10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环境因素 危险源识别培训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2022.6.10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与计划内容一致，基本满足。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意识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QE7.3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与办公室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主任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沟通，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知道公司方针，知道所在的工作岗位的质量、环境、职业健康安全目标，也了解自己的工作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会影响组织资质量、环境、职业健康安全管理体系的有效运行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的效果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绩效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监视测量 、分析和评价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1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9.1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>对管理体系的过程能力进行监视和测量，通过内审对管理体系运行的符合性和有效性进行监测，结论管理体系总体运行有效。通过管理评审对管理体系的充分性、有效性和适宜性作了肯定的评价。通过目标考评，监测管理体系运行的有效性，提供了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1-2季度</w:t>
            </w:r>
            <w:r>
              <w:rPr>
                <w:rFonts w:hint="eastAsia"/>
              </w:rPr>
              <w:t>目标完成情况，公司及各部门的管理目标均能完成。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公司有环境绩效监测评价报告，2022年1-6月每</w:t>
            </w:r>
            <w:r>
              <w:rPr>
                <w:rFonts w:hint="eastAsia"/>
                <w:lang w:val="en-US" w:eastAsia="zh-CN"/>
              </w:rPr>
              <w:t>月一次，评价结论：通过贯彻GB/T24001-2016标准，公司员工的环境保护意识明显加强，公司的环境管理水平有了较大的提高，公司的办公区域及所管辖的公司场地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范围内的环境得到了有效的保护，在公司工地树立了良好的社会形象。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评价人员为管理层及各部门负责人，管代。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结果符合</w:t>
            </w:r>
          </w:p>
          <w:p>
            <w:pPr>
              <w:pStyle w:val="2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3223260" cy="1348105"/>
                  <wp:effectExtent l="0" t="0" r="7620" b="8255"/>
                  <wp:docPr id="6" name="图片 6" descr="165750486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57504863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建议每月的评价内容及结论应针对每月工作实际，不要雷同。</w:t>
            </w:r>
          </w:p>
          <w:p>
            <w:pPr>
              <w:pStyle w:val="2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查见灭火器检查记录表，有每月对外观检查、压力表检合、保险销检查、是否须更换记录。基本符合。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QE7.5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制定了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管理手册、程序文件、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管理制度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及记录。公司编制的程序文件基本符合标准要求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所有程序文件，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记录表单满足公司目前的质量体系运行的需要。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查管理手册、程序文件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实施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有受控标识，有效版本。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查外来文件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 中华人民共和国反不正当竞争法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中华人民共和国标准化法实施条例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中华人民共和国标准化法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中华人民共和国招投标法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中华人民共和国行政处罚法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中华人民共和国价格法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质量管理体系 要求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洗涤用品标识和包装要求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洗涤用品检验规则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洗涤剂用荧光增白剂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消防安全疏散标志设置标准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抗菌抑菌型洗涤剂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洗涤用品常用试验方法 滴定分析（容量分析）用试验溶液的制备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洗涤器消毒器　第1部分：一般要求、定义和试验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 工业洗涤机械的安全要求 第3部分：隧道式洗 涤机组和相关机械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工业洗涤机械的安全要求 第4部分：烘干机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工业洗衣机安全要求　第2部分：洗衣机和洗涤脱水机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工业洗涤机械的安全要求 第5部分_ 熨平机、送料机和折叠机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工业洗涤机械的安全要求 第1部分：通用要求等共28项。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公司编制并实施了《记录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程序》对管理体系记录的标识、贮存、保护、检索、保存期限和处置等作了明确规定，符合要求。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《记录清单》，有内审报告、供方评价表、危险源清单、环境因素清单、管理评审报告等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65项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记录。明确了记录名称、编号、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等，并经审核后使用。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办公室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外来记录（如顾客投诉记录等）由相关部门负责保管、归档。</w:t>
            </w:r>
          </w:p>
          <w:p>
            <w:pPr>
              <w:spacing w:line="32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记录控制基本有效。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内部审核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QE9.2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办公室于2022年5月15日</w:t>
            </w:r>
            <w:r>
              <w:rPr>
                <w:rFonts w:hint="eastAsia"/>
              </w:rPr>
              <w:t>组织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 xml:space="preserve">公司质量、环境、职业健康安全管理体系内部审核，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年度审核计划：其内容已包括了审核目的、范围、准则、审核方法、日期</w:t>
            </w:r>
            <w:r>
              <w:rPr>
                <w:rFonts w:hint="eastAsia"/>
                <w:lang w:val="en-US" w:eastAsia="zh-CN"/>
              </w:rPr>
              <w:t>等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审核目的：</w:t>
            </w:r>
            <w:r>
              <w:rPr>
                <w:rFonts w:hint="eastAsia" w:ascii="宋体" w:hAnsi="宋体"/>
                <w:sz w:val="24"/>
              </w:rPr>
              <w:t>评价公司所建立的质量、环境及职业健康安全管理体系运行的有效性，寻找持续改进机会</w:t>
            </w:r>
          </w:p>
          <w:p>
            <w:pPr>
              <w:spacing w:line="320" w:lineRule="exact"/>
              <w:ind w:left="420" w:leftChars="20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审核依据：</w:t>
            </w:r>
            <w:r>
              <w:rPr>
                <w:rFonts w:hint="eastAsia" w:ascii="宋体" w:hAnsi="宋体"/>
                <w:sz w:val="24"/>
              </w:rPr>
              <w:t xml:space="preserve"> GB/T19001-2016 ，GB/T24001-2016，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GB/T45001-2020</w:t>
            </w:r>
            <w:r>
              <w:rPr>
                <w:rFonts w:hint="eastAsia" w:ascii="宋体" w:hAnsi="宋体"/>
                <w:sz w:val="24"/>
              </w:rPr>
              <w:t>，公司质量管理体系文件，相关法律法规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</w:rPr>
              <w:t>本次内审发现1个一般不符合项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>业务部“</w:t>
            </w:r>
            <w:r>
              <w:rPr>
                <w:rFonts w:hint="eastAsia" w:ascii="宋体" w:hAnsi="宋体"/>
                <w:sz w:val="24"/>
              </w:rPr>
              <w:t>未提供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顾客满意度分析报告</w:t>
            </w:r>
            <w:r>
              <w:rPr>
                <w:rFonts w:hint="eastAsia"/>
                <w:szCs w:val="22"/>
                <w:lang w:val="en-US" w:eastAsia="zh-CN"/>
              </w:rPr>
              <w:t>”</w:t>
            </w:r>
            <w:r>
              <w:rPr>
                <w:rFonts w:hint="eastAsia"/>
                <w:szCs w:val="22"/>
              </w:rPr>
              <w:t>。责任</w:t>
            </w:r>
            <w:r>
              <w:rPr>
                <w:rFonts w:hint="eastAsia"/>
              </w:rPr>
              <w:t>部门已分析了原因并采取了纠正措施，按要求进行了整改，最后内审员进行了验证，纠正措施实施有效。</w:t>
            </w:r>
          </w:p>
          <w:p>
            <w:pPr>
              <w:spacing w:line="320" w:lineRule="exact"/>
              <w:ind w:left="420" w:leftChars="20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2"/>
                <w:lang w:val="en-US" w:eastAsia="zh-CN"/>
              </w:rPr>
              <w:t>有</w:t>
            </w:r>
            <w:r>
              <w:rPr>
                <w:rFonts w:hint="eastAsia"/>
                <w:szCs w:val="22"/>
              </w:rPr>
              <w:t>《内部审核报告》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内部审核结论：</w:t>
            </w:r>
            <w:r>
              <w:rPr>
                <w:rFonts w:hint="eastAsia" w:ascii="宋体" w:hAnsi="宋体"/>
                <w:sz w:val="24"/>
              </w:rPr>
              <w:t>管理体系基本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具备</w:t>
            </w:r>
            <w:r>
              <w:rPr>
                <w:rFonts w:hint="eastAsia" w:ascii="宋体" w:hAnsi="宋体"/>
                <w:sz w:val="24"/>
              </w:rPr>
              <w:t>了适宜性、充分性和有效性。目前，体系的有效运行对提高内部管理水平，满足顾客要求，减少环境污染，保证员工身心健康安全，强化满足顾客要求的意识起到了积极的指导作用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81405" cy="1865630"/>
                  <wp:effectExtent l="0" t="0" r="635" b="8890"/>
                  <wp:docPr id="8" name="图片 8" descr="03a8deaec76a25d91f1f84bdf247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3a8deaec76a25d91f1f84bdf24768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256665" cy="1889125"/>
                  <wp:effectExtent l="0" t="0" r="8255" b="635"/>
                  <wp:docPr id="9" name="图片 9" descr="2b78a9f1f6c12eaf5a1a874e6975c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b78a9f1f6c12eaf5a1a874e6975c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内审基本符合。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20" w:type="dxa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/>
                <w:spacing w:val="-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Cs w:val="21"/>
              </w:rPr>
              <w:t>不合格和纠正措施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QE10.2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公司对内审时发现的不符合项进行了原因分析、纠正措施和验证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内审问题进行了原因分析，制定纠正措施，整改并验证。</w:t>
            </w:r>
          </w:p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公司对纠正及预防措施的管理基本符合要求。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20" w:type="dxa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环境因素/危险源</w:t>
            </w:r>
          </w:p>
          <w:p>
            <w:pPr>
              <w:pStyle w:val="2"/>
              <w:ind w:left="0" w:leftChars="0" w:firstLine="0" w:firstLineChars="0"/>
              <w:jc w:val="left"/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措施的策划</w:t>
            </w:r>
          </w:p>
        </w:tc>
        <w:tc>
          <w:tcPr>
            <w:tcW w:w="885" w:type="dxa"/>
          </w:tcPr>
          <w:p>
            <w:pPr>
              <w:spacing w:line="320" w:lineRule="exact"/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</w:rPr>
              <w:t>E6.1.2</w:t>
            </w:r>
          </w:p>
          <w:p>
            <w:pPr>
              <w:spacing w:line="320" w:lineRule="exact"/>
              <w:rPr>
                <w:rFonts w:hint="default" w:cs="Arial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查见2022.1.10“环境因素辨识与评价表”，电脑使用、打印机使用、照明灯、空调使用、电器使用卫生间等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涉及的23 项环境因素进行了辨识和评价；考虑了生命周期观点。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采取打分法评价，查到“重要环境因素清单”，经评价潜在火灾事故发生、固体废弃物处理的重要环境因素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公司根据环境因素辨识结果，分别制定出《重要环境因素清单》、清单内明确了环境影响</w:t>
            </w:r>
            <w:r>
              <w:rPr>
                <w:rFonts w:hint="eastAsia" w:cs="楷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时态/状态</w:t>
            </w:r>
            <w:r>
              <w:rPr>
                <w:rFonts w:hint="eastAsia" w:cs="楷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管理方式</w:t>
            </w:r>
            <w:r>
              <w:rPr>
                <w:rFonts w:hint="eastAsia" w:cs="楷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适用的法律法规和其它要求。</w:t>
            </w:r>
          </w:p>
          <w:p>
            <w:pPr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制定了《</w:t>
            </w:r>
            <w:r>
              <w:rPr>
                <w:rFonts w:hint="eastAsia" w:ascii="宋体" w:hAnsi="宋体"/>
                <w:iCs/>
              </w:rPr>
              <w:t>服务质量监视和测量控制程序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》、《合规性评价程序》、《</w:t>
            </w:r>
            <w:r>
              <w:rPr>
                <w:rFonts w:hint="eastAsia" w:ascii="宋体" w:hAnsi="宋体"/>
                <w:iCs/>
              </w:rPr>
              <w:t>管理体系业绩监测和测量控制程序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》，每年对公司适用的合规义务进行识别更新并定期评价、检查。</w:t>
            </w:r>
          </w:p>
          <w:p>
            <w:pPr>
              <w:spacing w:line="320" w:lineRule="exact"/>
              <w:ind w:firstLine="315" w:firstLineChars="150"/>
              <w:rPr>
                <w:rFonts w:hint="default" w:cs="楷体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经组织评价，组织策划的措施基本能够满足风险和机遇应对需要，能够与识别的风险和机遇对产品符合性的潜在影响相适应，该过程的控制基本满足标准要求。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2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合规义务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合规评价</w:t>
            </w: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color w:val="auto"/>
                <w:szCs w:val="21"/>
              </w:rPr>
              <w:t>E：</w:t>
            </w: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6.1.3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公司有</w:t>
            </w:r>
            <w:r>
              <w:rPr>
                <w:rFonts w:hint="eastAsia" w:ascii="宋体" w:hAnsi="宋体"/>
              </w:rPr>
              <w:t>合规性评价控制程序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有效文件。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对合规评价的流程、频次、方法、内容等做出了规定。提供有《环境法律法规 清单》。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环境管理体系方面： 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《中华人民共和国环境保护法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中华人民共和国水污染防治法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中华人民共和国清洁生产促进法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环境监测管理办法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北京市环境噪声污染防治办法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北京市实施《中华人民共和国节约能源法》办法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北京市水污染防治条例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北京市消防条例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北京市大气污染防治条例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北京市生活垃圾管理条例</w:t>
            </w:r>
          </w:p>
          <w:p>
            <w:pPr>
              <w:pStyle w:val="2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北京市市容环境卫生条例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等共计28条与环境相关的企业适用法律法规及其他要求。</w:t>
            </w:r>
          </w:p>
          <w:p>
            <w:pPr>
              <w:pStyle w:val="2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识别出质量方面适用的法律法规及其他要求：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中华人民共和国产品质量法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中华人民共和国消费者权益保护法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中华人民共和国专利法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中华人民共和国商标法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质量管理体系 要求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洗涤用品标识和包装要求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洗涤用品检验规则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洗涤剂用荧光增白剂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消防安全疏散标志设置标准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抗菌抑菌型洗涤剂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洗涤用品常用试验方法 滴定分析（容量分析）用试验溶液的制备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洗涤器消毒器　第1部分：一般要求、定义和试验</w:t>
            </w:r>
          </w:p>
          <w:p>
            <w:pPr>
              <w:pStyle w:val="2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 工业洗涤机械的安全要求 第3部分：隧道式洗 涤机组和相关机械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等共32项。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企业于2022年4月30日进行了合规性评价，提供有《2022年度合规性评价记录表》，对识别的各项法律法规进行了逐一评价，结论为合规。企业合规义务管控基本符合要求。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20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</w:rPr>
              <w:t>运行控制</w:t>
            </w:r>
          </w:p>
        </w:tc>
        <w:tc>
          <w:tcPr>
            <w:tcW w:w="885" w:type="dxa"/>
          </w:tcPr>
          <w:p>
            <w:pPr>
              <w:spacing w:line="320" w:lineRule="exact"/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</w:rPr>
              <w:t xml:space="preserve">E8.1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公司策划了质量环境管理相关程序文件和管理制度：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环境因素识别与评价控制程序、 </w:t>
            </w:r>
            <w:r>
              <w:rPr>
                <w:rFonts w:hint="eastAsia"/>
              </w:rPr>
              <w:t>环境运行控制程序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服务提供过程管理程序</w:t>
            </w:r>
            <w:r>
              <w:rPr>
                <w:rFonts w:hint="eastAsia"/>
                <w:lang w:val="en-US" w:eastAsia="zh-CN"/>
              </w:rPr>
              <w:t>、不符合控制程序、</w:t>
            </w:r>
            <w:r>
              <w:rPr>
                <w:rFonts w:hint="eastAsia"/>
              </w:rPr>
              <w:t>节能降耗管理程序</w:t>
            </w:r>
            <w:r>
              <w:rPr>
                <w:rFonts w:hint="eastAsia"/>
                <w:lang w:val="en-US" w:eastAsia="zh-CN"/>
              </w:rPr>
              <w:t>、管理评审控制程序、采购控制程序、应急准备和响应控制程序等29项；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公司管理制度：</w:t>
            </w:r>
            <w:bookmarkStart w:id="3" w:name="_GoBack"/>
            <w:r>
              <w:rPr>
                <w:rFonts w:hint="eastAsia"/>
                <w:lang w:val="en-US" w:eastAsia="zh-CN"/>
              </w:rPr>
              <w:t>环境管理制度、 清洁服务标准、洗衣服务标准、节电管理制度、节水管理制度、任职要求等14项。</w:t>
            </w:r>
          </w:p>
          <w:bookmarkEnd w:id="3"/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视频查见工作区配置有灭火器 状态良好，室外有分类垃圾箱。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703070" cy="956945"/>
                  <wp:effectExtent l="0" t="0" r="3810" b="3175"/>
                  <wp:docPr id="3" name="图片 3" descr="b7062c88989d1d96eed8e22c10de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062c88989d1d96eed8e22c10de2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办公环境良好；办公用墨盒硒鼓等危废以旧换新。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”，2022.3.25，与客户和相关方，北京玉君林清洁有限公司、北京伊尔萨洗染有限公司、北京大唐兴源物业管理有限公司，进行了质量环境和职业健康安全有关事项的沟通。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公司员工健康证明：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张学影   编号：0613220131511      2022.1.12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马后莹   编号：0613220131564      2022.1.13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余江波    编号：0613220131529      2022.1.12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各项检验项目均为合格。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33095" cy="1370330"/>
                  <wp:effectExtent l="0" t="0" r="6985" b="1270"/>
                  <wp:docPr id="10" name="图片 10" descr="3eeb46dceffe300c03408546a331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eeb46dceffe300c03408546a331e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13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41350" cy="1389380"/>
                  <wp:effectExtent l="0" t="0" r="13970" b="12700"/>
                  <wp:docPr id="11" name="图片 11" descr="fddcac11c131482bae99231c41a47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ddcac11c131482bae99231c41a475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05790" cy="1313180"/>
                  <wp:effectExtent l="0" t="0" r="3810" b="12700"/>
                  <wp:docPr id="12" name="图片 12" descr="bd447e2a5e391e563ec72495b198a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d447e2a5e391e563ec72495b198a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320" w:lineRule="exact"/>
              <w:rPr>
                <w:rFonts w:cs="Arial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Cs w:val="21"/>
              </w:rPr>
              <w:t>E8.2</w:t>
            </w:r>
          </w:p>
        </w:tc>
        <w:tc>
          <w:tcPr>
            <w:tcW w:w="11653" w:type="dxa"/>
            <w:vAlign w:val="top"/>
          </w:tcPr>
          <w:p>
            <w:pPr>
              <w:wordWrap w:val="0"/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2022.3.16公司办公室组织了火灾应急</w:t>
            </w:r>
            <w:r>
              <w:rPr>
                <w:rFonts w:hint="eastAsia"/>
              </w:rPr>
              <w:t>演练，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应急能力评价：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公司制定的应急措施有效。</w:t>
            </w:r>
          </w:p>
          <w:p>
            <w:pPr>
              <w:wordWrap w:val="0"/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人员能及时疏散。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灭火方法正确有效。</w:t>
            </w:r>
          </w:p>
          <w:p>
            <w:pPr>
              <w:wordWrap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演习过程表明，应急预案中设定的方法可以控制应急情况下的环境污染，人员不会受到伤害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应急管理基本符合要求。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tab w:relativeTo="margin" w:alignment="center" w:leader="none"/>
      </w:r>
    </w:p>
    <w:p>
      <w:pPr>
        <w:pStyle w:val="7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介绍明：不符合标注N</w:t>
      </w:r>
    </w:p>
    <w:p>
      <w:pPr>
        <w:pStyle w:val="7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7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7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155" w:firstLineChars="550"/>
      <w:jc w:val="left"/>
      <w:rPr>
        <w:rStyle w:val="25"/>
        <w:rFonts w:hint="default"/>
      </w:rPr>
    </w:pP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ind w:firstLine="1440" w:firstLineChars="800"/>
                </w:pPr>
                <w:r>
                  <w:rPr>
                    <w:rFonts w:hint="eastAsia"/>
                    <w:sz w:val="18"/>
                    <w:szCs w:val="18"/>
                  </w:rPr>
                  <w:t>IISC-B-II-12(05版</w:t>
                </w:r>
              </w:p>
              <w:p/>
            </w:txbxContent>
          </v:textbox>
        </v:shape>
      </w:pict>
    </w:r>
    <w:r>
      <w:rPr>
        <w:rStyle w:val="25"/>
        <w:rFonts w:hint="default"/>
      </w:rPr>
      <w:t xml:space="preserve">  </w: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-246380</wp:posOffset>
          </wp:positionV>
          <wp:extent cx="481330" cy="484505"/>
          <wp:effectExtent l="0" t="0" r="6350" b="317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5"/>
        <w:rFonts w:hint="default"/>
      </w:rPr>
      <w:t xml:space="preserve">     </w:t>
    </w:r>
    <w:r>
      <w:rPr>
        <w:rStyle w:val="25"/>
        <w:rFonts w:hint="eastAsia"/>
        <w:lang w:val="en-US"/>
      </w:rPr>
      <w:t xml:space="preserve"> </w:t>
    </w:r>
    <w:r>
      <w:rPr>
        <w:rStyle w:val="25"/>
        <w:rFonts w:hint="default"/>
      </w:rPr>
      <w:t xml:space="preserve"> </w:t>
    </w:r>
    <w:r>
      <w:rPr>
        <w:rStyle w:val="25"/>
        <w:rFonts w:hint="eastAsia"/>
        <w:lang w:val="en-US"/>
      </w:rPr>
      <w:t xml:space="preserve"> </w:t>
    </w:r>
    <w:r>
      <w:rPr>
        <w:rStyle w:val="25"/>
        <w:rFonts w:hint="default"/>
        <w:w w:val="90"/>
      </w:rPr>
      <w:t>Beijing International Standard united Certification Co.,Ltd.</w:t>
    </w:r>
    <w:r>
      <w:rPr>
        <w:rStyle w:val="25"/>
        <w:rFonts w:hint="default"/>
        <w:w w:val="90"/>
        <w:szCs w:val="21"/>
      </w:rPr>
      <w:t xml:space="preserve">  </w:t>
    </w:r>
    <w:r>
      <w:rPr>
        <w:rStyle w:val="25"/>
        <w:rFonts w:hint="default"/>
        <w:w w:val="90"/>
        <w:sz w:val="20"/>
      </w:rPr>
      <w:t xml:space="preserve"> </w:t>
    </w:r>
    <w:r>
      <w:rPr>
        <w:rStyle w:val="25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0YmI5OWQ4NWRjNjVjNzdmNjMxMTM2ODE2ZGNkOGIifQ=="/>
  </w:docVars>
  <w:rsids>
    <w:rsidRoot w:val="009973B4"/>
    <w:rsid w:val="000019A9"/>
    <w:rsid w:val="0000752D"/>
    <w:rsid w:val="00015489"/>
    <w:rsid w:val="000237F6"/>
    <w:rsid w:val="00024902"/>
    <w:rsid w:val="0003373A"/>
    <w:rsid w:val="000375C6"/>
    <w:rsid w:val="00046099"/>
    <w:rsid w:val="00057CF8"/>
    <w:rsid w:val="00080DCA"/>
    <w:rsid w:val="000A18C8"/>
    <w:rsid w:val="000B5555"/>
    <w:rsid w:val="000C5D0F"/>
    <w:rsid w:val="000D280C"/>
    <w:rsid w:val="000D3816"/>
    <w:rsid w:val="0010132B"/>
    <w:rsid w:val="00113349"/>
    <w:rsid w:val="001266C2"/>
    <w:rsid w:val="00141C60"/>
    <w:rsid w:val="00146847"/>
    <w:rsid w:val="00147640"/>
    <w:rsid w:val="001818E5"/>
    <w:rsid w:val="0019457F"/>
    <w:rsid w:val="001A2D7F"/>
    <w:rsid w:val="001A4632"/>
    <w:rsid w:val="001A71A3"/>
    <w:rsid w:val="001B02A9"/>
    <w:rsid w:val="001C0456"/>
    <w:rsid w:val="001C38A3"/>
    <w:rsid w:val="001D1CAB"/>
    <w:rsid w:val="001F2187"/>
    <w:rsid w:val="001F5202"/>
    <w:rsid w:val="001F7315"/>
    <w:rsid w:val="00214559"/>
    <w:rsid w:val="002160EE"/>
    <w:rsid w:val="002207A5"/>
    <w:rsid w:val="002218DD"/>
    <w:rsid w:val="00227438"/>
    <w:rsid w:val="00253426"/>
    <w:rsid w:val="00254821"/>
    <w:rsid w:val="00262E39"/>
    <w:rsid w:val="00282379"/>
    <w:rsid w:val="00292E40"/>
    <w:rsid w:val="002A54B9"/>
    <w:rsid w:val="002D30C8"/>
    <w:rsid w:val="002D5568"/>
    <w:rsid w:val="002F343A"/>
    <w:rsid w:val="00304AB7"/>
    <w:rsid w:val="0031396D"/>
    <w:rsid w:val="003145C8"/>
    <w:rsid w:val="003151E5"/>
    <w:rsid w:val="00320EDF"/>
    <w:rsid w:val="003319C7"/>
    <w:rsid w:val="0033303C"/>
    <w:rsid w:val="00337922"/>
    <w:rsid w:val="00340867"/>
    <w:rsid w:val="00360E55"/>
    <w:rsid w:val="00367AB0"/>
    <w:rsid w:val="00372506"/>
    <w:rsid w:val="0037457B"/>
    <w:rsid w:val="003807AD"/>
    <w:rsid w:val="00380837"/>
    <w:rsid w:val="00381FA9"/>
    <w:rsid w:val="0039404F"/>
    <w:rsid w:val="003951EC"/>
    <w:rsid w:val="003A198A"/>
    <w:rsid w:val="003B31AA"/>
    <w:rsid w:val="003E11CB"/>
    <w:rsid w:val="003E1EC0"/>
    <w:rsid w:val="003F7828"/>
    <w:rsid w:val="003F7E69"/>
    <w:rsid w:val="00403B34"/>
    <w:rsid w:val="00407CDA"/>
    <w:rsid w:val="00410914"/>
    <w:rsid w:val="00425CA8"/>
    <w:rsid w:val="00460254"/>
    <w:rsid w:val="004642F2"/>
    <w:rsid w:val="00465F3C"/>
    <w:rsid w:val="004705BF"/>
    <w:rsid w:val="00484344"/>
    <w:rsid w:val="00485B1D"/>
    <w:rsid w:val="004929ED"/>
    <w:rsid w:val="0049424F"/>
    <w:rsid w:val="004A009F"/>
    <w:rsid w:val="004B42B7"/>
    <w:rsid w:val="004C50BC"/>
    <w:rsid w:val="004F61CD"/>
    <w:rsid w:val="005050C2"/>
    <w:rsid w:val="00513E0E"/>
    <w:rsid w:val="005210E4"/>
    <w:rsid w:val="00522F77"/>
    <w:rsid w:val="00530179"/>
    <w:rsid w:val="005340FE"/>
    <w:rsid w:val="00536930"/>
    <w:rsid w:val="00542920"/>
    <w:rsid w:val="0054377F"/>
    <w:rsid w:val="00547D07"/>
    <w:rsid w:val="00556543"/>
    <w:rsid w:val="00562830"/>
    <w:rsid w:val="00564E53"/>
    <w:rsid w:val="00570475"/>
    <w:rsid w:val="00572642"/>
    <w:rsid w:val="005766BC"/>
    <w:rsid w:val="00576829"/>
    <w:rsid w:val="00580148"/>
    <w:rsid w:val="00587B31"/>
    <w:rsid w:val="0059010E"/>
    <w:rsid w:val="00592545"/>
    <w:rsid w:val="005A528E"/>
    <w:rsid w:val="005A55E0"/>
    <w:rsid w:val="005C1DB5"/>
    <w:rsid w:val="005C79A4"/>
    <w:rsid w:val="005D3984"/>
    <w:rsid w:val="005D542C"/>
    <w:rsid w:val="005D5C6F"/>
    <w:rsid w:val="005F2E83"/>
    <w:rsid w:val="005F3118"/>
    <w:rsid w:val="00600B1B"/>
    <w:rsid w:val="0060265C"/>
    <w:rsid w:val="00604357"/>
    <w:rsid w:val="00611C3A"/>
    <w:rsid w:val="00613B06"/>
    <w:rsid w:val="006216DA"/>
    <w:rsid w:val="00635D08"/>
    <w:rsid w:val="00636F30"/>
    <w:rsid w:val="00644FE2"/>
    <w:rsid w:val="00657163"/>
    <w:rsid w:val="0066139D"/>
    <w:rsid w:val="006640A1"/>
    <w:rsid w:val="0067189C"/>
    <w:rsid w:val="0067640C"/>
    <w:rsid w:val="00676BA0"/>
    <w:rsid w:val="006B14E9"/>
    <w:rsid w:val="006B4E10"/>
    <w:rsid w:val="006C0DD3"/>
    <w:rsid w:val="006E1CE0"/>
    <w:rsid w:val="006E386A"/>
    <w:rsid w:val="006E678B"/>
    <w:rsid w:val="006E7988"/>
    <w:rsid w:val="006F00A0"/>
    <w:rsid w:val="006F1258"/>
    <w:rsid w:val="006F45A6"/>
    <w:rsid w:val="007223CD"/>
    <w:rsid w:val="00726634"/>
    <w:rsid w:val="007279F6"/>
    <w:rsid w:val="00734AF4"/>
    <w:rsid w:val="00750A89"/>
    <w:rsid w:val="00755614"/>
    <w:rsid w:val="007642B1"/>
    <w:rsid w:val="0076534A"/>
    <w:rsid w:val="007745EA"/>
    <w:rsid w:val="007757F3"/>
    <w:rsid w:val="007813D2"/>
    <w:rsid w:val="007B087D"/>
    <w:rsid w:val="007E6AEB"/>
    <w:rsid w:val="00814EA8"/>
    <w:rsid w:val="008209B3"/>
    <w:rsid w:val="00836DDF"/>
    <w:rsid w:val="00846FD9"/>
    <w:rsid w:val="00847FF2"/>
    <w:rsid w:val="0086624A"/>
    <w:rsid w:val="008718A2"/>
    <w:rsid w:val="008734C4"/>
    <w:rsid w:val="008760B4"/>
    <w:rsid w:val="00886CF2"/>
    <w:rsid w:val="008973EE"/>
    <w:rsid w:val="008A3A63"/>
    <w:rsid w:val="008A4C5F"/>
    <w:rsid w:val="008C2D56"/>
    <w:rsid w:val="008D2790"/>
    <w:rsid w:val="008D6D23"/>
    <w:rsid w:val="008E265D"/>
    <w:rsid w:val="008E4ADC"/>
    <w:rsid w:val="008F699C"/>
    <w:rsid w:val="00906BA5"/>
    <w:rsid w:val="00906DFD"/>
    <w:rsid w:val="00962A39"/>
    <w:rsid w:val="009649FA"/>
    <w:rsid w:val="00971600"/>
    <w:rsid w:val="00983EBA"/>
    <w:rsid w:val="0099659E"/>
    <w:rsid w:val="009973B4"/>
    <w:rsid w:val="009B67C4"/>
    <w:rsid w:val="009C28C1"/>
    <w:rsid w:val="009F219B"/>
    <w:rsid w:val="009F7EED"/>
    <w:rsid w:val="00A02D48"/>
    <w:rsid w:val="00A13B66"/>
    <w:rsid w:val="00A261E2"/>
    <w:rsid w:val="00A27C46"/>
    <w:rsid w:val="00A73387"/>
    <w:rsid w:val="00A74AD9"/>
    <w:rsid w:val="00A826EA"/>
    <w:rsid w:val="00A91EBF"/>
    <w:rsid w:val="00A957D1"/>
    <w:rsid w:val="00A96449"/>
    <w:rsid w:val="00A97098"/>
    <w:rsid w:val="00AB70ED"/>
    <w:rsid w:val="00AE0DDF"/>
    <w:rsid w:val="00AE1252"/>
    <w:rsid w:val="00AE398E"/>
    <w:rsid w:val="00AF0AAB"/>
    <w:rsid w:val="00B014C7"/>
    <w:rsid w:val="00B070D6"/>
    <w:rsid w:val="00B22F36"/>
    <w:rsid w:val="00B266C3"/>
    <w:rsid w:val="00B4608C"/>
    <w:rsid w:val="00B613CB"/>
    <w:rsid w:val="00B63E18"/>
    <w:rsid w:val="00B71EC8"/>
    <w:rsid w:val="00B7798A"/>
    <w:rsid w:val="00B85ADB"/>
    <w:rsid w:val="00BA5456"/>
    <w:rsid w:val="00BA6FB5"/>
    <w:rsid w:val="00BD4090"/>
    <w:rsid w:val="00BF381D"/>
    <w:rsid w:val="00BF597E"/>
    <w:rsid w:val="00BF5C9B"/>
    <w:rsid w:val="00C03CB4"/>
    <w:rsid w:val="00C15667"/>
    <w:rsid w:val="00C15D2A"/>
    <w:rsid w:val="00C17C94"/>
    <w:rsid w:val="00C4055F"/>
    <w:rsid w:val="00C51A36"/>
    <w:rsid w:val="00C55228"/>
    <w:rsid w:val="00C55C1B"/>
    <w:rsid w:val="00C66CB1"/>
    <w:rsid w:val="00C75770"/>
    <w:rsid w:val="00C838CC"/>
    <w:rsid w:val="00C87ACE"/>
    <w:rsid w:val="00C95C4A"/>
    <w:rsid w:val="00CA0D11"/>
    <w:rsid w:val="00CA1E6D"/>
    <w:rsid w:val="00CA26C4"/>
    <w:rsid w:val="00CA7912"/>
    <w:rsid w:val="00CB4A1E"/>
    <w:rsid w:val="00CC06A9"/>
    <w:rsid w:val="00CD6CED"/>
    <w:rsid w:val="00CE315A"/>
    <w:rsid w:val="00CE79E9"/>
    <w:rsid w:val="00CF6DF6"/>
    <w:rsid w:val="00D06F59"/>
    <w:rsid w:val="00D379FD"/>
    <w:rsid w:val="00D442D9"/>
    <w:rsid w:val="00D4771D"/>
    <w:rsid w:val="00D6292E"/>
    <w:rsid w:val="00D7317C"/>
    <w:rsid w:val="00D76FAF"/>
    <w:rsid w:val="00D8388C"/>
    <w:rsid w:val="00D90860"/>
    <w:rsid w:val="00D91A6D"/>
    <w:rsid w:val="00D97620"/>
    <w:rsid w:val="00DA5B0A"/>
    <w:rsid w:val="00DA7C22"/>
    <w:rsid w:val="00DB328D"/>
    <w:rsid w:val="00DC331A"/>
    <w:rsid w:val="00DC4503"/>
    <w:rsid w:val="00DC5FFD"/>
    <w:rsid w:val="00DD161C"/>
    <w:rsid w:val="00DD7E5B"/>
    <w:rsid w:val="00DE307B"/>
    <w:rsid w:val="00DE385E"/>
    <w:rsid w:val="00DE3D9F"/>
    <w:rsid w:val="00E01FB7"/>
    <w:rsid w:val="00E07157"/>
    <w:rsid w:val="00E14109"/>
    <w:rsid w:val="00E30342"/>
    <w:rsid w:val="00E33DE0"/>
    <w:rsid w:val="00E54628"/>
    <w:rsid w:val="00E73AE3"/>
    <w:rsid w:val="00E75126"/>
    <w:rsid w:val="00E75C2F"/>
    <w:rsid w:val="00E838E4"/>
    <w:rsid w:val="00E83970"/>
    <w:rsid w:val="00EA663C"/>
    <w:rsid w:val="00EB0164"/>
    <w:rsid w:val="00EB232D"/>
    <w:rsid w:val="00EC3C1B"/>
    <w:rsid w:val="00EC414D"/>
    <w:rsid w:val="00ED0F62"/>
    <w:rsid w:val="00ED3BAF"/>
    <w:rsid w:val="00ED4470"/>
    <w:rsid w:val="00EE3632"/>
    <w:rsid w:val="00F014AB"/>
    <w:rsid w:val="00F0575B"/>
    <w:rsid w:val="00F064A7"/>
    <w:rsid w:val="00F07028"/>
    <w:rsid w:val="00F07768"/>
    <w:rsid w:val="00F11894"/>
    <w:rsid w:val="00F15A8E"/>
    <w:rsid w:val="00F24012"/>
    <w:rsid w:val="00F3523B"/>
    <w:rsid w:val="00F42D5A"/>
    <w:rsid w:val="00F503AA"/>
    <w:rsid w:val="00F55474"/>
    <w:rsid w:val="00F67B25"/>
    <w:rsid w:val="00F67CAF"/>
    <w:rsid w:val="00F740A1"/>
    <w:rsid w:val="00F86CC2"/>
    <w:rsid w:val="00F87080"/>
    <w:rsid w:val="00F95C35"/>
    <w:rsid w:val="00FB3B96"/>
    <w:rsid w:val="00FC0B48"/>
    <w:rsid w:val="05CD3D24"/>
    <w:rsid w:val="081D0FB6"/>
    <w:rsid w:val="09EB2825"/>
    <w:rsid w:val="0C570557"/>
    <w:rsid w:val="0C947C19"/>
    <w:rsid w:val="0E5960DC"/>
    <w:rsid w:val="0F3A364B"/>
    <w:rsid w:val="108219C2"/>
    <w:rsid w:val="12BB5B4A"/>
    <w:rsid w:val="158A6F8F"/>
    <w:rsid w:val="15D84673"/>
    <w:rsid w:val="176C603E"/>
    <w:rsid w:val="1D802020"/>
    <w:rsid w:val="1EC66CF6"/>
    <w:rsid w:val="1FEC4CF5"/>
    <w:rsid w:val="20887714"/>
    <w:rsid w:val="225E7539"/>
    <w:rsid w:val="2365523D"/>
    <w:rsid w:val="263450F0"/>
    <w:rsid w:val="271C4959"/>
    <w:rsid w:val="2B64129A"/>
    <w:rsid w:val="2E33092C"/>
    <w:rsid w:val="31716D4D"/>
    <w:rsid w:val="32436E58"/>
    <w:rsid w:val="330541D1"/>
    <w:rsid w:val="349C72C9"/>
    <w:rsid w:val="35746C75"/>
    <w:rsid w:val="361E3091"/>
    <w:rsid w:val="39E77C78"/>
    <w:rsid w:val="40C95012"/>
    <w:rsid w:val="4502092E"/>
    <w:rsid w:val="47E92683"/>
    <w:rsid w:val="494D109E"/>
    <w:rsid w:val="4AA153D1"/>
    <w:rsid w:val="4ABF1E48"/>
    <w:rsid w:val="4BF865B6"/>
    <w:rsid w:val="4C3D4EF6"/>
    <w:rsid w:val="4E1251BD"/>
    <w:rsid w:val="50A75DFC"/>
    <w:rsid w:val="52717451"/>
    <w:rsid w:val="534F5997"/>
    <w:rsid w:val="541039EA"/>
    <w:rsid w:val="55CB345B"/>
    <w:rsid w:val="56813E40"/>
    <w:rsid w:val="5C417146"/>
    <w:rsid w:val="5EA12B9A"/>
    <w:rsid w:val="602241DC"/>
    <w:rsid w:val="604D0D30"/>
    <w:rsid w:val="66F725D0"/>
    <w:rsid w:val="690544DC"/>
    <w:rsid w:val="6A6D54DB"/>
    <w:rsid w:val="6DCB4007"/>
    <w:rsid w:val="6FAA60A5"/>
    <w:rsid w:val="71835BBE"/>
    <w:rsid w:val="72F5085A"/>
    <w:rsid w:val="741B7C51"/>
    <w:rsid w:val="74244E8E"/>
    <w:rsid w:val="7BBC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link w:val="34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5">
    <w:name w:val="Plain Text"/>
    <w:basedOn w:val="1"/>
    <w:link w:val="40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</w:pPr>
    <w:rPr>
      <w:rFonts w:ascii="宋体" w:hAnsi="宋体"/>
      <w:sz w:val="24"/>
    </w:rPr>
  </w:style>
  <w:style w:type="paragraph" w:styleId="10">
    <w:name w:val="Body Text Indent 3"/>
    <w:basedOn w:val="1"/>
    <w:link w:val="37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itle"/>
    <w:basedOn w:val="1"/>
    <w:link w:val="31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"/>
    <w:basedOn w:val="2"/>
    <w:qFormat/>
    <w:uiPriority w:val="0"/>
    <w:pPr>
      <w:ind w:firstLine="420" w:firstLineChars="100"/>
    </w:pPr>
    <w:rPr>
      <w:szCs w:val="20"/>
    </w:rPr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8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9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20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批注框文本 Char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5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5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8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9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30">
    <w:name w:val="gaogao1"/>
    <w:basedOn w:val="15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31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3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33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34">
    <w:name w:val="正文文本缩进 Char"/>
    <w:basedOn w:val="15"/>
    <w:link w:val="4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3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正文文本缩进 3 Char"/>
    <w:basedOn w:val="15"/>
    <w:link w:val="10"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38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9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纯文本 Char1"/>
    <w:basedOn w:val="15"/>
    <w:link w:val="5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4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954E5-ACDE-4F68-81EB-90C9E5B8A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5020</Words>
  <Characters>5394</Characters>
  <Lines>208</Lines>
  <Paragraphs>58</Paragraphs>
  <TotalTime>10</TotalTime>
  <ScaleCrop>false</ScaleCrop>
  <LinksUpToDate>false</LinksUpToDate>
  <CharactersWithSpaces>5879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2020-06-08T20:30:00Z</dcterms:created>
  <dc:creator>微软用户</dc:creator>
  <cp:lastModifiedBy>秋子(喻荣秋)</cp:lastModifiedBy>
  <dcterms:modified xsi:type="dcterms:W3CDTF">2022-07-11T10:16:49Z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9613AAEC60444372A50A1BAA4423D355</vt:lpwstr>
  </property>
</Properties>
</file>