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4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郭双庆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鲍敏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喻荣秋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2022.7.15，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3:00-17:30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.3,6.2,6.1.2,6.1.3,8.1,8.2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财务部：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发票管理：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（1）根据公司业务情况及时从税务局足额领取并保管发票；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（2）根据企业原始工资费用表，与相关业务员核对工资、社保、管理费无误后开具发票并录档备查；政府部门根据用工协议及时开具发票；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（3）对于需要作废的发票及时作废处理，并保证作废发票联次完整留档备查；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2、工资核算管理：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（1）依据企业原始工资表编制核算实发工资表，要求真实、准确、及时；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（2）及时采集录入更新个人所得税专项扣除信息，保证个税计算准确，维护劳务工的合法权益；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（3）在工资核算中发现的异常问题要及时与管厂业务人员沟通，并及时向主管领导汇报；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（4）工资发放：工资表核对无误后由业务员及相关人员核对签字后，交由公司总经理签字，财务审核发放；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3、纳税申报： 根据当月实际业务经营情况，编制核算增值税、增值税附加、企业所得税纳税申报表，并在申报期内按时足额缴纳应交税金；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4、账务处理：严格按照财务制度合理合法编制会计凭证，根据会计凭证进行账务处理，出具财务报表；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5、货币资金管理：负责工资发放、社保、公积金缴纳，贷款融资及还款、日常账务处理，资金账目核对；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6、应收、应付账款账款管理：负责应收、应付账款的核对记账，编制应收账款明细表，定期通报应收账款余额信息；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7、费用报销核算：包含社保退费、公司日常开支等费用的审核及支付；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8、公章管理：严格按照规章制度管理公司行政章、财务章，必须经领导批示放可使用。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查见 目标分解表 ，见财务部的目标：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文件发放受控率100%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2、协助用工单位岗前培训及时率100%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3、触电事故为0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2022年1-6月考核，显示目标均已全部完成。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868545" cy="529590"/>
                  <wp:effectExtent l="0" t="0" r="8255" b="3810"/>
                  <wp:docPr id="5" name="图片 5" descr="1657872617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578726176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54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提供了环境因素识别和控制程序，有效文件。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查“环境因素辨识和评价表”，对办公活动中的生活垃圾的处置不当污染环境、办公场水电消耗、复印机打印机废墨盒处置污染环境、</w:t>
            </w:r>
            <w:r>
              <w:rPr>
                <w:rFonts w:hint="eastAsia" w:ascii="宋体" w:hAnsi="宋体" w:cs="宋体"/>
                <w:szCs w:val="21"/>
              </w:rPr>
              <w:t>日光灯管废弃</w:t>
            </w:r>
            <w:r>
              <w:rPr>
                <w:rFonts w:hint="eastAsia"/>
                <w:color w:val="auto"/>
                <w:lang w:val="en-US" w:eastAsia="zh-CN"/>
              </w:rPr>
              <w:t>、电池废弃进行了辨识和评价；考虑了生命周期观点。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采取打分法评价，查到“重大环境因素清单”，</w:t>
            </w:r>
            <w:r>
              <w:rPr>
                <w:rFonts w:hint="eastAsia"/>
                <w:color w:val="auto"/>
                <w:lang w:val="en-US" w:eastAsia="zh-CN"/>
              </w:rPr>
              <w:t>经评价财务部 “重大危险源清单”，辨识和评价潜在火灾、废弃物（如废旧电池、灯管等）排放。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合规义务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E6.1.3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公司制定了法律法规及其他要求控制程序、合规性评价控制程序，有效文件。</w:t>
            </w:r>
          </w:p>
          <w:p>
            <w:pPr>
              <w:spacing w:line="5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2022.5.29公司合规性评价计划与综合评价报告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评价目的：定期进行评价公司遵循适用环境法律、法规和其他要求情况，以履行和实现遵循环境法律、法规和其他要求的承诺。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管理体系经过近半年来的运行，通过各项检查均以达到公司的各项管理目标。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查见合规性检查评价记录，对法律法规的遵守情况进行了评价。基本符合。 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境和职业健康安全运行控制程序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、采购管理控制程序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、节能降耗控制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、与顾客有关的要求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废弃物控制程序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《十堰市汇才人力资源有限公司岗位职责</w:t>
            </w:r>
            <w:r>
              <w:rPr>
                <w:rFonts w:hint="eastAsia" w:cs="Times New Roman"/>
                <w:szCs w:val="22"/>
                <w:lang w:val="en-US"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Cs w:val="22"/>
                <w:lang w:val="en-US" w:eastAsia="zh-CN"/>
              </w:rPr>
              <w:t>规定了项目部、财务部、综合管理部的具体职责。《员工工作职责及流程》有工资发放、工伤处理、离职管理、市场开发等内容。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查见配置有灭火器、状态良好，在有效期内；应急疏散指示符合要求；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办公用固废集中存放，办公用墨盒硒鼓等危废以旧换新。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2022年3月25 财务部参加了公司组织的全体员工的火灾消防演习，有演练计划、演练记录。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效果与评价：</w:t>
            </w:r>
            <w: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通过这次演习，参加人员对消防安全知识有了进一步的了解，加强了预防为主的安全意识，对相应的安全救援措施、灭火器材的使用方法均有较好的理解和掌握，各有关部门岗位人员对职责分工有了较为明确的认识与理解，演习达到了预期的目的。通过演习，证明公司所制定的应急预案是切实可行的，是充分、适宜的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应急管理基本符合。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-22860</wp:posOffset>
          </wp:positionV>
          <wp:extent cx="481330" cy="484505"/>
          <wp:effectExtent l="0" t="0" r="13970" b="1079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963AA"/>
    <w:multiLevelType w:val="singleLevel"/>
    <w:tmpl w:val="5DA963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mI5OWQ4NWRjNjVjNzdmNjMxMTM2ODE2ZGNkOGIifQ=="/>
  </w:docVars>
  <w:rsids>
    <w:rsidRoot w:val="00000000"/>
    <w:rsid w:val="06F10764"/>
    <w:rsid w:val="16803A30"/>
    <w:rsid w:val="1ACA5148"/>
    <w:rsid w:val="1CDB3CD5"/>
    <w:rsid w:val="2067411D"/>
    <w:rsid w:val="25055FC9"/>
    <w:rsid w:val="2AD250BC"/>
    <w:rsid w:val="2E145C39"/>
    <w:rsid w:val="30D639C8"/>
    <w:rsid w:val="32A26AE3"/>
    <w:rsid w:val="365E531F"/>
    <w:rsid w:val="41495ED3"/>
    <w:rsid w:val="429648E0"/>
    <w:rsid w:val="463B1514"/>
    <w:rsid w:val="46CF1AC9"/>
    <w:rsid w:val="4ACF0E85"/>
    <w:rsid w:val="4B0A7157"/>
    <w:rsid w:val="57470538"/>
    <w:rsid w:val="589F2138"/>
    <w:rsid w:val="5AAD0F9B"/>
    <w:rsid w:val="68DA78C4"/>
    <w:rsid w:val="6952544E"/>
    <w:rsid w:val="728F3F70"/>
    <w:rsid w:val="781B17A7"/>
    <w:rsid w:val="785726D7"/>
    <w:rsid w:val="7A153A3F"/>
    <w:rsid w:val="7A7E6F3E"/>
    <w:rsid w:val="7BAB2316"/>
    <w:rsid w:val="7BFB5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1708</Words>
  <Characters>1806</Characters>
  <Lines>1</Lines>
  <Paragraphs>1</Paragraphs>
  <TotalTime>2</TotalTime>
  <ScaleCrop>false</ScaleCrop>
  <LinksUpToDate>false</LinksUpToDate>
  <CharactersWithSpaces>1992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秋子(喻荣秋)</cp:lastModifiedBy>
  <dcterms:modified xsi:type="dcterms:W3CDTF">2022-07-16T09:04:37Z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3ABD9309E98E4274A3BD505DFB16AD92</vt:lpwstr>
  </property>
</Properties>
</file>