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0812-2022-QEO EnMS</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河北华西特种钢铁有限公司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w:t>
      </w:r>
      <w:r>
        <w:rPr>
          <w:rFonts w:hint="eastAsia"/>
          <w:sz w:val="28"/>
          <w:szCs w:val="28"/>
          <w:lang w:val="en-US" w:eastAsia="zh-CN"/>
        </w:rPr>
        <w:t>能源</w:t>
      </w:r>
      <w:r>
        <w:rPr>
          <w:rFonts w:hint="eastAsia"/>
          <w:sz w:val="28"/>
          <w:szCs w:val="28"/>
        </w:rPr>
        <w:t>管理体系（</w:t>
      </w:r>
      <w:r>
        <w:rPr>
          <w:sz w:val="28"/>
          <w:szCs w:val="28"/>
        </w:rPr>
        <w:t>E</w:t>
      </w:r>
      <w:r>
        <w:rPr>
          <w:rFonts w:hint="eastAsia"/>
          <w:sz w:val="28"/>
          <w:szCs w:val="28"/>
          <w:lang w:val="en-US" w:eastAsia="zh-CN"/>
        </w:rPr>
        <w:t>n</w:t>
      </w:r>
      <w:r>
        <w:rPr>
          <w:sz w:val="28"/>
          <w:szCs w:val="28"/>
        </w:rPr>
        <w:t>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河北华西特种钢铁有限公司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唐山海港开发区东风大路以东、兴业大街以北、沿海公路以南办公楼一层</w:t>
            </w:r>
            <w:bookmarkEnd w:id="6"/>
          </w:p>
        </w:tc>
        <w:tc>
          <w:tcPr>
            <w:tcW w:w="1242" w:type="dxa"/>
            <w:vMerge w:val="restart"/>
            <w:vAlign w:val="center"/>
          </w:tcPr>
          <w:p>
            <w:r>
              <w:rPr>
                <w:rFonts w:hint="eastAsia"/>
              </w:rPr>
              <w:t>邮编</w:t>
            </w:r>
          </w:p>
        </w:tc>
        <w:tc>
          <w:tcPr>
            <w:tcW w:w="1771" w:type="dxa"/>
          </w:tcPr>
          <w:p>
            <w:bookmarkStart w:id="7" w:name="注册邮编"/>
            <w:r>
              <w:t>063611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唐山海港开发区东风大路以东、兴业大街以北、沿海公路以南</w:t>
            </w:r>
            <w:bookmarkEnd w:id="8"/>
          </w:p>
        </w:tc>
        <w:tc>
          <w:tcPr>
            <w:tcW w:w="1242" w:type="dxa"/>
            <w:vMerge w:val="continue"/>
            <w:vAlign w:val="center"/>
          </w:tcPr>
          <w:p/>
        </w:tc>
        <w:tc>
          <w:tcPr>
            <w:tcW w:w="1771" w:type="dxa"/>
          </w:tcPr>
          <w:p>
            <w:bookmarkStart w:id="9" w:name="办公邮编"/>
            <w:r>
              <w:t>063611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翟俊娥</w:t>
            </w:r>
            <w:bookmarkEnd w:id="10"/>
          </w:p>
        </w:tc>
        <w:tc>
          <w:tcPr>
            <w:tcW w:w="1313" w:type="dxa"/>
            <w:vAlign w:val="center"/>
          </w:tcPr>
          <w:p>
            <w:r>
              <w:rPr>
                <w:rFonts w:hint="eastAsia"/>
              </w:rPr>
              <w:t>电话.</w:t>
            </w:r>
          </w:p>
        </w:tc>
        <w:tc>
          <w:tcPr>
            <w:tcW w:w="2180" w:type="dxa"/>
            <w:vAlign w:val="center"/>
          </w:tcPr>
          <w:p>
            <w:bookmarkStart w:id="11" w:name="联系人电话"/>
            <w:r>
              <w:t>134 7358 3589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default" w:eastAsia="宋体"/>
                <w:lang w:val="en-US" w:eastAsia="zh-CN"/>
              </w:rPr>
            </w:pPr>
            <w:r>
              <w:rPr>
                <w:rFonts w:hint="eastAsia"/>
                <w:lang w:val="en-US" w:eastAsia="zh-CN"/>
              </w:rPr>
              <w:t>王剑平</w:t>
            </w:r>
          </w:p>
        </w:tc>
        <w:tc>
          <w:tcPr>
            <w:tcW w:w="1313" w:type="dxa"/>
            <w:vAlign w:val="center"/>
          </w:tcPr>
          <w:p>
            <w:r>
              <w:rPr>
                <w:rFonts w:hint="eastAsia"/>
              </w:rPr>
              <w:t>管理者代表</w:t>
            </w:r>
          </w:p>
        </w:tc>
        <w:tc>
          <w:tcPr>
            <w:tcW w:w="2180" w:type="dxa"/>
          </w:tcPr>
          <w:p>
            <w:bookmarkStart w:id="13" w:name="法人"/>
            <w:r>
              <w:t>党现行</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w:t>
            </w:r>
            <w:r>
              <w:rPr>
                <w:rFonts w:hint="eastAsia"/>
              </w:rPr>
              <w:sym w:font="Wingdings 2" w:char="0052"/>
            </w:r>
            <w:r>
              <w:rPr>
                <w:rFonts w:hint="eastAsia"/>
              </w:rPr>
              <w:t>双班□三班□其他</w:t>
            </w:r>
          </w:p>
          <w:p>
            <w:r>
              <w:rPr>
                <w:rFonts w:hint="eastAsia"/>
                <w:highlight w:val="cyan"/>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eastAsia="宋体"/>
                <w:color w:val="000000"/>
                <w:szCs w:val="18"/>
                <w:lang w:eastAsia="zh-CN"/>
              </w:rPr>
              <w:drawing>
                <wp:inline distT="0" distB="0" distL="114300" distR="114300">
                  <wp:extent cx="2508250" cy="2662555"/>
                  <wp:effectExtent l="0" t="0" r="6350" b="4445"/>
                  <wp:docPr id="2" name="图片 2" descr="1657267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7267387(1)"/>
                          <pic:cNvPicPr>
                            <a:picLocks noChangeAspect="1"/>
                          </pic:cNvPicPr>
                        </pic:nvPicPr>
                        <pic:blipFill>
                          <a:blip r:embed="rId6"/>
                          <a:stretch>
                            <a:fillRect/>
                          </a:stretch>
                        </pic:blipFill>
                        <pic:spPr>
                          <a:xfrm>
                            <a:off x="0" y="0"/>
                            <a:ext cx="2508250" cy="2662555"/>
                          </a:xfrm>
                          <a:prstGeom prst="rect">
                            <a:avLst/>
                          </a:prstGeom>
                        </pic:spPr>
                      </pic:pic>
                    </a:graphicData>
                  </a:graphic>
                </wp:inline>
              </w:drawing>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2022年07月09日 下午至2022年07月14日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5" w:hRule="exact"/>
        </w:trPr>
        <w:tc>
          <w:tcPr>
            <w:tcW w:w="1632" w:type="dxa"/>
            <w:gridSpan w:val="2"/>
          </w:tcPr>
          <w:p>
            <w:r>
              <w:rPr>
                <w:rFonts w:hint="eastAsia"/>
              </w:rPr>
              <w:t>审核准则</w:t>
            </w:r>
          </w:p>
          <w:p/>
        </w:tc>
        <w:tc>
          <w:tcPr>
            <w:tcW w:w="7831" w:type="dxa"/>
            <w:gridSpan w:val="3"/>
            <w:tcMar>
              <w:left w:w="113" w:type="dxa"/>
            </w:tcMar>
          </w:tcPr>
          <w:p>
            <w:pPr>
              <w:rPr>
                <w:rFonts w:hint="eastAsia" w:ascii="宋体" w:hAnsi="宋体"/>
                <w:b/>
                <w:color w:val="000000"/>
                <w:szCs w:val="21"/>
                <w:lang w:val="de-DE"/>
              </w:rPr>
            </w:pPr>
            <w:r>
              <w:rPr>
                <w:rFonts w:hint="eastAsia" w:ascii="宋体" w:hAnsi="宋体"/>
                <w:b/>
                <w:color w:val="000000"/>
                <w:szCs w:val="21"/>
                <w:lang w:val="de-DE"/>
              </w:rPr>
              <w:t>■GB/T19001-2016</w:t>
            </w:r>
            <w:bookmarkStart w:id="19" w:name="QJ勾选Add2"/>
            <w:r>
              <w:rPr>
                <w:rFonts w:hint="eastAsia" w:ascii="宋体" w:hAnsi="宋体"/>
                <w:b/>
                <w:color w:val="000000"/>
                <w:szCs w:val="21"/>
                <w:lang w:val="de-DE"/>
              </w:rPr>
              <w:t>□</w:t>
            </w:r>
            <w:bookmarkEnd w:id="19"/>
            <w:r>
              <w:rPr>
                <w:rFonts w:hint="eastAsia" w:ascii="宋体" w:hAnsi="宋体"/>
                <w:b/>
                <w:color w:val="000000"/>
                <w:szCs w:val="21"/>
                <w:lang w:val="de-DE"/>
              </w:rPr>
              <w:t>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rPr>
                <w:rFonts w:hint="eastAsia" w:ascii="宋体" w:hAnsi="宋体" w:eastAsia="宋体"/>
                <w:b/>
                <w:color w:val="000000"/>
                <w:szCs w:val="21"/>
                <w:lang w:eastAsia="zh-CN"/>
              </w:rPr>
            </w:pP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eastAsia" w:ascii="宋体" w:hAnsi="宋体"/>
                <w:sz w:val="21"/>
                <w:szCs w:val="21"/>
              </w:rPr>
            </w:pP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103-2013 能源管理体系 钢铁企业认证要求</w:t>
            </w:r>
            <w:r>
              <w:rPr>
                <w:rFonts w:hint="eastAsia" w:ascii="宋体" w:hAnsi="宋体"/>
                <w:sz w:val="21"/>
                <w:szCs w:val="21"/>
              </w:rPr>
              <w:t xml:space="preserve"> </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hint="default" w:ascii="宋体" w:hAnsi="Times New Roman" w:eastAsia="宋体" w:cs="Times New Roman"/>
                <w:b/>
                <w:color w:val="0000FF"/>
                <w:kern w:val="2"/>
                <w:sz w:val="21"/>
                <w:szCs w:val="21"/>
                <w:lang w:val="en-US" w:eastAsia="zh-CN" w:bidi="ar-SA"/>
              </w:rPr>
            </w:pPr>
            <w:r>
              <w:rPr>
                <w:rFonts w:hint="eastAsia" w:ascii="宋体"/>
                <w:b/>
                <w:color w:val="0000FF"/>
                <w:szCs w:val="21"/>
                <w:lang w:val="en-US" w:eastAsia="zh-CN"/>
              </w:rPr>
              <w:t>北京市/张静（远程）；其他审核员现场审核：唐山海港开发区东风大路以东、兴业大街以北、沿海公路以南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Q：连铸钢坯的生产和销售</w:t>
            </w:r>
          </w:p>
          <w:p>
            <w:r>
              <w:t>O：连铸钢坯的生产和销售所涉及场所的相关职业健康安全管理活动</w:t>
            </w:r>
          </w:p>
          <w:p>
            <w:r>
              <w:t>EnMS：连铸钢坯的生产和销售所涉及的能源管理活动</w:t>
            </w:r>
          </w:p>
          <w:p>
            <w:r>
              <w:t>E：连铸钢坯的生产和销售所涉及场所的相关环境管理活</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Q：17.05.02</w:t>
            </w:r>
          </w:p>
          <w:p>
            <w:r>
              <w:t>O：17.05.02</w:t>
            </w:r>
          </w:p>
          <w:p>
            <w:r>
              <w:t>EnMS：2.1</w:t>
            </w:r>
          </w:p>
          <w:p>
            <w:r>
              <w:t>E：17.05.02</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tc>
        <w:tc>
          <w:tcPr>
            <w:tcW w:w="1883" w:type="dxa"/>
            <w:vAlign w:val="center"/>
          </w:tcPr>
          <w:p>
            <w:pPr>
              <w:rPr>
                <w:rFonts w:hint="eastAsia"/>
              </w:rPr>
            </w:pPr>
            <w:r>
              <w:rPr>
                <w:rFonts w:hint="eastAsia"/>
                <w:lang w:val="en-US" w:eastAsia="zh-CN"/>
              </w:rPr>
              <w:t>QEO</w:t>
            </w:r>
            <w:r>
              <w:rPr>
                <w:rFonts w:hint="eastAsia"/>
              </w:rPr>
              <w:t>管理体系运行已超过3个月</w:t>
            </w:r>
          </w:p>
          <w:p>
            <w:pPr>
              <w:pStyle w:val="15"/>
              <w:rPr>
                <w:rFonts w:hint="default" w:eastAsia="宋体"/>
                <w:lang w:val="en-US" w:eastAsia="zh-CN"/>
              </w:rPr>
            </w:pPr>
            <w:r>
              <w:rPr>
                <w:rFonts w:hint="eastAsia"/>
                <w:lang w:val="en-US" w:eastAsia="zh-CN"/>
              </w:rPr>
              <w:t>En管理体系运行已超过6个月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54"/>
        <w:gridCol w:w="1854"/>
        <w:gridCol w:w="809"/>
        <w:gridCol w:w="2128"/>
        <w:gridCol w:w="173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54" w:type="dxa"/>
            <w:shd w:val="clear" w:color="auto" w:fill="F3F3F3"/>
            <w:tcMar>
              <w:left w:w="57" w:type="dxa"/>
              <w:right w:w="57" w:type="dxa"/>
            </w:tcMar>
          </w:tcPr>
          <w:p>
            <w:r>
              <w:rPr>
                <w:rFonts w:hint="eastAsia"/>
              </w:rPr>
              <w:t>组织名称及注册场所地址</w:t>
            </w:r>
          </w:p>
        </w:tc>
        <w:tc>
          <w:tcPr>
            <w:tcW w:w="1854" w:type="dxa"/>
            <w:shd w:val="clear" w:color="auto" w:fill="F3F3F3"/>
            <w:tcMar>
              <w:left w:w="57" w:type="dxa"/>
              <w:right w:w="57" w:type="dxa"/>
            </w:tcMar>
          </w:tcPr>
          <w:p>
            <w:r>
              <w:rPr>
                <w:rFonts w:hint="eastAsia"/>
              </w:rPr>
              <w:t>经营场所的地址</w:t>
            </w:r>
          </w:p>
          <w:p>
            <w:r>
              <w:rPr>
                <w:rFonts w:hint="eastAsia"/>
              </w:rPr>
              <w:t>（多现场和临时现场）</w:t>
            </w:r>
          </w:p>
        </w:tc>
        <w:tc>
          <w:tcPr>
            <w:tcW w:w="809" w:type="dxa"/>
            <w:shd w:val="clear" w:color="auto" w:fill="F3F3F3"/>
            <w:tcMar>
              <w:left w:w="57" w:type="dxa"/>
              <w:right w:w="57" w:type="dxa"/>
            </w:tcMar>
          </w:tcPr>
          <w:p>
            <w:r>
              <w:rPr>
                <w:rFonts w:hint="eastAsia"/>
              </w:rPr>
              <w:t>员工人数</w:t>
            </w:r>
          </w:p>
        </w:tc>
        <w:tc>
          <w:tcPr>
            <w:tcW w:w="2128" w:type="dxa"/>
            <w:shd w:val="clear" w:color="auto" w:fill="F3F3F3"/>
            <w:tcMar>
              <w:left w:w="57" w:type="dxa"/>
              <w:right w:w="57" w:type="dxa"/>
            </w:tcMar>
          </w:tcPr>
          <w:p>
            <w:r>
              <w:rPr>
                <w:rFonts w:hint="eastAsia"/>
              </w:rPr>
              <w:t>审核范围（产品和过程）</w:t>
            </w:r>
          </w:p>
          <w:p/>
          <w:p/>
        </w:tc>
        <w:tc>
          <w:tcPr>
            <w:tcW w:w="173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47" w:type="dxa"/>
            <w:vAlign w:val="center"/>
          </w:tcPr>
          <w:p>
            <w:pPr>
              <w:rPr>
                <w:lang w:eastAsia="ja-JP"/>
              </w:rPr>
            </w:pPr>
            <w:r>
              <w:rPr>
                <w:rFonts w:hint="eastAsia"/>
                <w:lang w:eastAsia="ja-JP"/>
              </w:rPr>
              <w:t>01</w:t>
            </w:r>
          </w:p>
        </w:tc>
        <w:tc>
          <w:tcPr>
            <w:tcW w:w="2054" w:type="dxa"/>
            <w:vMerge w:val="restart"/>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河北华西特种钢铁有限公司</w:t>
            </w:r>
            <w:r>
              <w:rPr>
                <w:rFonts w:hint="eastAsia"/>
                <w:sz w:val="21"/>
                <w:szCs w:val="21"/>
                <w:lang w:val="en-US" w:eastAsia="zh-CN"/>
              </w:rPr>
              <w:t>/</w:t>
            </w:r>
            <w:r>
              <w:rPr>
                <w:sz w:val="21"/>
                <w:szCs w:val="21"/>
              </w:rPr>
              <w:t>唐山海港开发区东风大路以东、兴业大街以北、沿海公路以南办公楼一层</w:t>
            </w:r>
          </w:p>
        </w:tc>
        <w:tc>
          <w:tcPr>
            <w:tcW w:w="1854" w:type="dxa"/>
            <w:vMerge w:val="restart"/>
            <w:vAlign w:val="top"/>
          </w:tcPr>
          <w:p>
            <w:pPr>
              <w:spacing w:before="40" w:after="40"/>
              <w:rPr>
                <w:rFonts w:ascii="Times New Roman" w:hAnsi="Times New Roman" w:eastAsia="黑体" w:cs="Times New Roman"/>
                <w:kern w:val="2"/>
                <w:sz w:val="21"/>
                <w:szCs w:val="21"/>
                <w:lang w:val="de-DE" w:eastAsia="ja-JP" w:bidi="ar-SA"/>
              </w:rPr>
            </w:pPr>
            <w:r>
              <w:rPr>
                <w:sz w:val="21"/>
                <w:szCs w:val="21"/>
              </w:rPr>
              <w:t>唐山海港开发区东风大路以东、兴业大街以北、沿海公路以南</w:t>
            </w:r>
          </w:p>
        </w:tc>
        <w:tc>
          <w:tcPr>
            <w:tcW w:w="80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1650</w:t>
            </w:r>
          </w:p>
        </w:tc>
        <w:tc>
          <w:tcPr>
            <w:tcW w:w="2128" w:type="dxa"/>
            <w:vAlign w:val="center"/>
          </w:tcPr>
          <w:p>
            <w:pPr>
              <w:pStyle w:val="24"/>
              <w:rPr>
                <w:rFonts w:ascii="Times New Roman" w:hAnsi="Times New Roman" w:eastAsia="黑体" w:cs="Arial"/>
                <w:kern w:val="2"/>
                <w:sz w:val="21"/>
                <w:szCs w:val="21"/>
                <w:lang w:val="en-US" w:eastAsia="ja-JP" w:bidi="ar-SA"/>
              </w:rPr>
            </w:pPr>
            <w:r>
              <w:t>连铸钢坯的生产和销售</w:t>
            </w:r>
          </w:p>
        </w:tc>
        <w:tc>
          <w:tcPr>
            <w:tcW w:w="1732"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54" w:type="dxa"/>
            <w:vMerge w:val="continue"/>
            <w:tcBorders/>
            <w:vAlign w:val="center"/>
          </w:tcPr>
          <w:p>
            <w:pPr>
              <w:rPr>
                <w:lang w:eastAsia="ja-JP"/>
              </w:rPr>
            </w:pPr>
          </w:p>
        </w:tc>
        <w:tc>
          <w:tcPr>
            <w:tcW w:w="1854" w:type="dxa"/>
            <w:vMerge w:val="continue"/>
            <w:tcBorders/>
            <w:vAlign w:val="center"/>
          </w:tcPr>
          <w:p>
            <w:pPr>
              <w:rPr>
                <w:lang w:eastAsia="ja-JP"/>
              </w:rPr>
            </w:pPr>
          </w:p>
        </w:tc>
        <w:tc>
          <w:tcPr>
            <w:tcW w:w="809" w:type="dxa"/>
            <w:vAlign w:val="center"/>
          </w:tcPr>
          <w:p>
            <w:pPr>
              <w:spacing w:before="40" w:after="40"/>
              <w:rPr>
                <w:rFonts w:ascii="Times New Roman" w:hAnsi="Times New Roman" w:eastAsia="黑体" w:cs="Times New Roman"/>
                <w:kern w:val="2"/>
                <w:sz w:val="21"/>
                <w:szCs w:val="21"/>
                <w:lang w:val="en-US" w:eastAsia="ja-JP" w:bidi="ar-SA"/>
              </w:rPr>
            </w:pPr>
          </w:p>
        </w:tc>
        <w:tc>
          <w:tcPr>
            <w:tcW w:w="2128" w:type="dxa"/>
            <w:vAlign w:val="center"/>
          </w:tcPr>
          <w:p>
            <w:pPr>
              <w:spacing w:before="40" w:after="40"/>
              <w:rPr>
                <w:rFonts w:ascii="Times New Roman" w:hAnsi="Times New Roman" w:eastAsia="黑体" w:cs="Times New Roman"/>
                <w:kern w:val="2"/>
                <w:sz w:val="21"/>
                <w:szCs w:val="21"/>
                <w:lang w:val="en-US" w:eastAsia="ja-JP" w:bidi="ar-SA"/>
              </w:rPr>
            </w:pPr>
            <w:r>
              <w:t>连铸钢坯的生产和销售所涉及场所的相关环境管理活</w:t>
            </w:r>
            <w:r>
              <w:rPr>
                <w:rFonts w:hint="eastAsia"/>
                <w:lang w:val="en-US" w:eastAsia="zh-CN"/>
              </w:rPr>
              <w:t>动</w:t>
            </w:r>
          </w:p>
        </w:tc>
        <w:tc>
          <w:tcPr>
            <w:tcW w:w="1732"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w:t>
            </w:r>
            <w:r>
              <w:rPr>
                <w:rFonts w:hint="eastAsia" w:ascii="宋体" w:hAnsi="宋体"/>
                <w:b/>
                <w:sz w:val="21"/>
                <w:szCs w:val="21"/>
                <w:lang w:val="en-US" w:eastAsia="zh-CN"/>
              </w:rPr>
              <w:t>24</w:t>
            </w:r>
            <w:r>
              <w:rPr>
                <w:rFonts w:hint="eastAsia" w:ascii="宋体" w:hAnsi="宋体"/>
                <w:b/>
                <w:sz w:val="21"/>
                <w:szCs w:val="21"/>
              </w:rPr>
              <w:t>001-2016</w:t>
            </w: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54" w:type="dxa"/>
            <w:vMerge w:val="continue"/>
            <w:tcBorders/>
            <w:vAlign w:val="center"/>
          </w:tcPr>
          <w:p>
            <w:pPr>
              <w:rPr>
                <w:lang w:eastAsia="ja-JP"/>
              </w:rPr>
            </w:pPr>
          </w:p>
        </w:tc>
        <w:tc>
          <w:tcPr>
            <w:tcW w:w="1854" w:type="dxa"/>
            <w:vMerge w:val="continue"/>
            <w:tcBorders/>
            <w:vAlign w:val="center"/>
          </w:tcPr>
          <w:p>
            <w:pPr>
              <w:rPr>
                <w:lang w:eastAsia="ja-JP"/>
              </w:rPr>
            </w:pPr>
          </w:p>
        </w:tc>
        <w:tc>
          <w:tcPr>
            <w:tcW w:w="809" w:type="dxa"/>
            <w:vAlign w:val="center"/>
          </w:tcPr>
          <w:p>
            <w:pPr>
              <w:spacing w:before="40" w:after="40"/>
              <w:rPr>
                <w:rFonts w:ascii="Times New Roman" w:hAnsi="Times New Roman" w:eastAsia="黑体" w:cs="Times New Roman"/>
                <w:kern w:val="2"/>
                <w:sz w:val="21"/>
                <w:szCs w:val="21"/>
                <w:lang w:val="en-US" w:eastAsia="ja-JP" w:bidi="ar-SA"/>
              </w:rPr>
            </w:pPr>
          </w:p>
        </w:tc>
        <w:tc>
          <w:tcPr>
            <w:tcW w:w="2128" w:type="dxa"/>
            <w:vAlign w:val="center"/>
          </w:tcPr>
          <w:p>
            <w:pPr>
              <w:spacing w:before="40" w:after="40"/>
              <w:rPr>
                <w:rFonts w:ascii="Times New Roman" w:hAnsi="Times New Roman" w:eastAsia="黑体" w:cs="Times New Roman"/>
                <w:kern w:val="2"/>
                <w:sz w:val="21"/>
                <w:szCs w:val="21"/>
                <w:lang w:val="en-US" w:eastAsia="ja-JP" w:bidi="ar-SA"/>
              </w:rPr>
            </w:pPr>
            <w:r>
              <w:t>连铸钢坯的生产和销售所涉及场所的相关职业健康安全管理活动</w:t>
            </w:r>
          </w:p>
        </w:tc>
        <w:tc>
          <w:tcPr>
            <w:tcW w:w="1732" w:type="dxa"/>
            <w:vAlign w:val="center"/>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b/>
                <w:sz w:val="21"/>
                <w:szCs w:val="21"/>
              </w:rPr>
              <w:t>GB/T</w:t>
            </w:r>
            <w:r>
              <w:rPr>
                <w:rFonts w:hint="eastAsia" w:ascii="宋体" w:hAnsi="宋体"/>
                <w:b/>
                <w:sz w:val="21"/>
                <w:szCs w:val="21"/>
                <w:lang w:val="en-US" w:eastAsia="zh-CN"/>
              </w:rPr>
              <w:t>45</w:t>
            </w:r>
            <w:r>
              <w:rPr>
                <w:rFonts w:hint="eastAsia" w:ascii="宋体" w:hAnsi="宋体"/>
                <w:b/>
                <w:sz w:val="21"/>
                <w:szCs w:val="21"/>
              </w:rPr>
              <w:t>001-20</w:t>
            </w:r>
            <w:r>
              <w:rPr>
                <w:rFonts w:hint="eastAsia" w:ascii="宋体" w:hAnsi="宋体"/>
                <w:b/>
                <w:sz w:val="21"/>
                <w:szCs w:val="21"/>
                <w:lang w:val="en-US" w:eastAsia="zh-CN"/>
              </w:rPr>
              <w:t>0</w:t>
            </w:r>
          </w:p>
        </w:tc>
        <w:tc>
          <w:tcPr>
            <w:tcW w:w="668" w:type="dxa"/>
            <w:shd w:val="clear" w:color="auto" w:fill="FFFFFF"/>
            <w:vAlign w:val="top"/>
          </w:tcPr>
          <w:sdt>
            <w:sdtPr>
              <w:rPr>
                <w:rFonts w:eastAsia="黑体"/>
                <w:szCs w:val="21"/>
              </w:rPr>
              <w:id w:val="1022285066"/>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54" w:type="dxa"/>
            <w:vMerge w:val="continue"/>
            <w:tcBorders/>
            <w:vAlign w:val="center"/>
          </w:tcPr>
          <w:p>
            <w:pPr>
              <w:rPr>
                <w:lang w:eastAsia="ja-JP"/>
              </w:rPr>
            </w:pPr>
          </w:p>
        </w:tc>
        <w:tc>
          <w:tcPr>
            <w:tcW w:w="1854" w:type="dxa"/>
            <w:vMerge w:val="continue"/>
            <w:tcBorders/>
            <w:vAlign w:val="center"/>
          </w:tcPr>
          <w:p>
            <w:pPr>
              <w:rPr>
                <w:lang w:eastAsia="ja-JP"/>
              </w:rPr>
            </w:pPr>
          </w:p>
        </w:tc>
        <w:tc>
          <w:tcPr>
            <w:tcW w:w="809" w:type="dxa"/>
            <w:vAlign w:val="center"/>
          </w:tcPr>
          <w:p>
            <w:pPr>
              <w:spacing w:before="40" w:after="40"/>
              <w:rPr>
                <w:rFonts w:ascii="Times New Roman" w:hAnsi="Times New Roman" w:eastAsia="黑体" w:cs="Times New Roman"/>
                <w:kern w:val="2"/>
                <w:sz w:val="21"/>
                <w:szCs w:val="21"/>
                <w:lang w:val="en-US" w:eastAsia="ja-JP" w:bidi="ar-SA"/>
              </w:rPr>
            </w:pPr>
          </w:p>
        </w:tc>
        <w:tc>
          <w:tcPr>
            <w:tcW w:w="2128" w:type="dxa"/>
            <w:vAlign w:val="center"/>
          </w:tcPr>
          <w:p>
            <w:pPr>
              <w:spacing w:before="40" w:after="40"/>
              <w:rPr>
                <w:rFonts w:ascii="Times New Roman" w:hAnsi="Times New Roman" w:eastAsia="黑体" w:cs="Times New Roman"/>
                <w:kern w:val="2"/>
                <w:sz w:val="21"/>
                <w:szCs w:val="21"/>
                <w:lang w:val="en-US" w:eastAsia="ja-JP" w:bidi="ar-SA"/>
              </w:rPr>
            </w:pPr>
            <w:r>
              <w:t>连铸钢坯的生产和销售所涉及的能源管理活动</w:t>
            </w:r>
          </w:p>
        </w:tc>
        <w:tc>
          <w:tcPr>
            <w:tcW w:w="1732" w:type="dxa"/>
            <w:vAlign w:val="center"/>
          </w:tcPr>
          <w:p>
            <w:pPr>
              <w:spacing w:before="40" w:after="40"/>
              <w:rPr>
                <w:rFonts w:hint="eastAsia" w:ascii="宋体" w:hAnsi="宋体"/>
                <w:b/>
                <w:sz w:val="21"/>
                <w:szCs w:val="21"/>
                <w:lang w:val="en-US" w:eastAsia="zh-CN"/>
              </w:rPr>
            </w:pPr>
            <w:r>
              <w:rPr>
                <w:rFonts w:hint="eastAsia" w:ascii="宋体" w:hAnsi="宋体"/>
                <w:b/>
                <w:sz w:val="21"/>
                <w:szCs w:val="21"/>
              </w:rPr>
              <w:t>GB/T</w:t>
            </w:r>
            <w:r>
              <w:rPr>
                <w:rFonts w:hint="eastAsia" w:ascii="宋体" w:hAnsi="宋体"/>
                <w:b/>
                <w:sz w:val="21"/>
                <w:szCs w:val="21"/>
                <w:lang w:val="en-US" w:eastAsia="zh-CN"/>
              </w:rPr>
              <w:t>2333</w:t>
            </w:r>
            <w:r>
              <w:rPr>
                <w:rFonts w:hint="eastAsia" w:ascii="宋体" w:hAnsi="宋体"/>
                <w:b/>
                <w:sz w:val="21"/>
                <w:szCs w:val="21"/>
              </w:rPr>
              <w:t>1-20</w:t>
            </w:r>
            <w:r>
              <w:rPr>
                <w:rFonts w:hint="eastAsia" w:ascii="宋体" w:hAnsi="宋体"/>
                <w:b/>
                <w:sz w:val="21"/>
                <w:szCs w:val="21"/>
                <w:lang w:val="en-US" w:eastAsia="zh-CN"/>
              </w:rPr>
              <w:t>20</w:t>
            </w:r>
          </w:p>
          <w:p>
            <w:pPr>
              <w:spacing w:before="40" w:after="40"/>
              <w:rPr>
                <w:rFonts w:hint="default" w:ascii="宋体" w:hAnsi="宋体" w:eastAsia="宋体" w:cs="Times New Roman"/>
                <w:b/>
                <w:kern w:val="2"/>
                <w:sz w:val="21"/>
                <w:szCs w:val="21"/>
                <w:lang w:val="en-US" w:eastAsia="ja-JP" w:bidi="ar-SA"/>
              </w:rPr>
            </w:pPr>
            <w:r>
              <w:rPr>
                <w:rFonts w:hint="eastAsia" w:ascii="宋体" w:hAnsi="宋体"/>
                <w:b/>
                <w:sz w:val="21"/>
                <w:szCs w:val="21"/>
                <w:lang w:val="en-US" w:eastAsia="zh-CN"/>
              </w:rPr>
              <w:t>RB/T103-2013</w:t>
            </w:r>
          </w:p>
        </w:tc>
        <w:tc>
          <w:tcPr>
            <w:tcW w:w="668" w:type="dxa"/>
            <w:shd w:val="clear" w:color="auto" w:fill="FFFFFF"/>
            <w:vAlign w:val="top"/>
          </w:tcPr>
          <w:sdt>
            <w:sdtPr>
              <w:rPr>
                <w:rFonts w:eastAsia="黑体"/>
                <w:szCs w:val="21"/>
              </w:rPr>
              <w:id w:val="-1648588699"/>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054" w:type="dxa"/>
            <w:vAlign w:val="center"/>
          </w:tcPr>
          <w:p>
            <w:pPr>
              <w:rPr>
                <w:lang w:eastAsia="ja-JP"/>
              </w:rPr>
            </w:pPr>
          </w:p>
        </w:tc>
        <w:tc>
          <w:tcPr>
            <w:tcW w:w="1854" w:type="dxa"/>
            <w:vAlign w:val="center"/>
          </w:tcPr>
          <w:p>
            <w:pPr>
              <w:rPr>
                <w:lang w:eastAsia="ja-JP"/>
              </w:rPr>
            </w:pPr>
          </w:p>
        </w:tc>
        <w:tc>
          <w:tcPr>
            <w:tcW w:w="809" w:type="dxa"/>
            <w:vAlign w:val="center"/>
          </w:tcPr>
          <w:p>
            <w:pPr>
              <w:rPr>
                <w:lang w:eastAsia="ja-JP"/>
              </w:rPr>
            </w:pPr>
          </w:p>
        </w:tc>
        <w:tc>
          <w:tcPr>
            <w:tcW w:w="2128" w:type="dxa"/>
            <w:vAlign w:val="center"/>
          </w:tcPr>
          <w:p>
            <w:pPr>
              <w:rPr>
                <w:lang w:eastAsia="ja-JP"/>
              </w:rPr>
            </w:pPr>
          </w:p>
        </w:tc>
        <w:tc>
          <w:tcPr>
            <w:tcW w:w="1732"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2021-N1QMS-4021820</w:t>
            </w:r>
          </w:p>
          <w:p>
            <w:r>
              <w:t>2020-N1OHSMS-4021820</w:t>
            </w:r>
          </w:p>
          <w:p>
            <w:r>
              <w:t>2020-N1EnMS-3021820</w:t>
            </w:r>
          </w:p>
          <w:p>
            <w:r>
              <w:t>2021-N1EMS-4021820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2022-N1OHSMS-1215052</w:t>
            </w:r>
          </w:p>
          <w:p>
            <w:r>
              <w:t>2022-N1EMS-1215052</w:t>
            </w:r>
          </w:p>
        </w:tc>
        <w:tc>
          <w:tcPr>
            <w:tcW w:w="2179" w:type="dxa"/>
            <w:vAlign w:val="center"/>
          </w:tcPr>
          <w:p>
            <w:r>
              <w:t>Q:17.05.02</w:t>
            </w:r>
          </w:p>
          <w:p>
            <w:r>
              <w:t>O:17.05.02</w:t>
            </w:r>
          </w:p>
          <w:p>
            <w:r>
              <w:t>E:17.05.02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组员</w:t>
            </w:r>
          </w:p>
        </w:tc>
        <w:tc>
          <w:tcPr>
            <w:tcW w:w="711" w:type="dxa"/>
            <w:vAlign w:val="center"/>
          </w:tcPr>
          <w:p>
            <w:r>
              <w:t>女</w:t>
            </w:r>
          </w:p>
        </w:tc>
        <w:tc>
          <w:tcPr>
            <w:tcW w:w="3870" w:type="dxa"/>
            <w:vAlign w:val="center"/>
          </w:tcPr>
          <w:p>
            <w:r>
              <w:t>2019-N1QMS-3022240</w:t>
            </w:r>
          </w:p>
          <w:p>
            <w:r>
              <w:t>2020-N1OHSMS-3022240</w:t>
            </w:r>
          </w:p>
          <w:p>
            <w:r>
              <w:t>2022-N0EnMS-1022240</w:t>
            </w:r>
          </w:p>
          <w:p>
            <w:r>
              <w:t>2020-N1EMS-3022240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组员</w:t>
            </w:r>
          </w:p>
        </w:tc>
        <w:tc>
          <w:tcPr>
            <w:tcW w:w="711" w:type="dxa"/>
            <w:vAlign w:val="center"/>
          </w:tcPr>
          <w:p>
            <w:r>
              <w:t>女</w:t>
            </w:r>
          </w:p>
        </w:tc>
        <w:tc>
          <w:tcPr>
            <w:tcW w:w="3870" w:type="dxa"/>
            <w:vAlign w:val="center"/>
          </w:tcPr>
          <w:p>
            <w:r>
              <w:t>2021-N1QMS-2011923</w:t>
            </w:r>
          </w:p>
          <w:p>
            <w:r>
              <w:t>2020-N1OHSMS-3011923</w:t>
            </w:r>
          </w:p>
          <w:p>
            <w:r>
              <w:t>2021-N1EnMS-1011923</w:t>
            </w:r>
          </w:p>
          <w:p>
            <w:r>
              <w:t>2021-N1EMS-4011923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郑雅楠</w:t>
            </w:r>
          </w:p>
        </w:tc>
        <w:tc>
          <w:tcPr>
            <w:tcW w:w="1089" w:type="dxa"/>
            <w:vAlign w:val="center"/>
          </w:tcPr>
          <w:p>
            <w:r>
              <w:t>组员</w:t>
            </w:r>
          </w:p>
        </w:tc>
        <w:tc>
          <w:tcPr>
            <w:tcW w:w="711" w:type="dxa"/>
            <w:vAlign w:val="center"/>
          </w:tcPr>
          <w:p>
            <w:r>
              <w:t>女</w:t>
            </w:r>
          </w:p>
        </w:tc>
        <w:tc>
          <w:tcPr>
            <w:tcW w:w="3870" w:type="dxa"/>
            <w:vAlign w:val="center"/>
          </w:tcPr>
          <w:p>
            <w:r>
              <w:t>ISC-JSZJ-547</w:t>
            </w:r>
          </w:p>
          <w:p>
            <w:r>
              <w:t>唐山国堂钢铁有限公司</w:t>
            </w:r>
          </w:p>
        </w:tc>
        <w:tc>
          <w:tcPr>
            <w:tcW w:w="2179" w:type="dxa"/>
            <w:vAlign w:val="center"/>
          </w:tcPr>
          <w:p>
            <w:r>
              <w:t>EnMS:2.1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52"/>
      </w:r>
      <w:r>
        <w:rPr>
          <w:rFonts w:hint="eastAsia"/>
        </w:rPr>
        <w:t>E</w:t>
      </w:r>
      <w:r>
        <w:rPr>
          <w:rFonts w:hint="eastAsia"/>
          <w:lang w:val="en-US" w:eastAsia="zh-CN"/>
        </w:rPr>
        <w:t>n</w:t>
      </w:r>
      <w:r>
        <w:rPr>
          <w:rFonts w:hint="eastAsia"/>
        </w:rPr>
        <w:t>MS</w:t>
      </w:r>
      <w:r>
        <w:rPr>
          <w:rFonts w:hint="eastAsia"/>
        </w:rPr>
        <w:sym w:font="Wingdings 2" w:char="0052"/>
      </w:r>
      <w:r>
        <w:rPr>
          <w:rFonts w:hint="eastAsia"/>
        </w:rPr>
        <w:t>EMS</w:t>
      </w:r>
      <w:r>
        <w:rPr>
          <w:rFonts w:hint="eastAsia"/>
        </w:rPr>
        <w:sym w:font="Wingdings 2" w:char="0052"/>
      </w:r>
      <w:r>
        <w:rPr>
          <w:rFonts w:hint="eastAsia"/>
        </w:rPr>
        <w:t>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sym w:font="Wingdings 2" w:char="00A3"/>
      </w:r>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2(合并）</w:t>
            </w:r>
          </w:p>
        </w:tc>
        <w:tc>
          <w:tcPr>
            <w:tcW w:w="1717" w:type="dxa"/>
          </w:tcPr>
          <w:p>
            <w:pPr>
              <w:rPr>
                <w:rFonts w:hint="eastAsia" w:eastAsia="宋体"/>
                <w:lang w:val="en-US" w:eastAsia="zh-CN"/>
              </w:rPr>
            </w:pPr>
            <w:r>
              <w:rPr>
                <w:rFonts w:hint="eastAsia"/>
                <w:lang w:val="en-US" w:eastAsia="zh-CN"/>
              </w:rPr>
              <w:t>0</w:t>
            </w:r>
          </w:p>
        </w:tc>
        <w:tc>
          <w:tcPr>
            <w:tcW w:w="1560" w:type="dxa"/>
            <w:vMerge w:val="restart"/>
          </w:tcPr>
          <w:p>
            <w:pPr>
              <w:rPr>
                <w:rFonts w:hint="default" w:eastAsia="宋体"/>
                <w:lang w:val="en-US" w:eastAsia="zh-CN"/>
              </w:rPr>
            </w:pPr>
            <w:r>
              <w:rPr>
                <w:rFonts w:hint="eastAsia"/>
                <w:lang w:val="en-US" w:eastAsia="zh-CN"/>
              </w:rPr>
              <w:t>四体系6个</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3(合并）</w:t>
            </w:r>
          </w:p>
        </w:tc>
        <w:tc>
          <w:tcPr>
            <w:tcW w:w="1717" w:type="dxa"/>
          </w:tcPr>
          <w:p>
            <w:pPr>
              <w:rPr>
                <w:rFonts w:hint="default" w:eastAsia="宋体"/>
                <w:lang w:val="en-US" w:eastAsia="zh-CN"/>
              </w:rPr>
            </w:pPr>
            <w:r>
              <w:rPr>
                <w:rFonts w:hint="eastAsia"/>
                <w:lang w:val="en-US" w:eastAsia="zh-CN"/>
              </w:rPr>
              <w:t>0</w:t>
            </w:r>
          </w:p>
        </w:tc>
        <w:tc>
          <w:tcPr>
            <w:tcW w:w="1560" w:type="dxa"/>
            <w:vMerge w:val="continue"/>
            <w:tcBorders/>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3(合并）</w:t>
            </w:r>
          </w:p>
        </w:tc>
        <w:tc>
          <w:tcPr>
            <w:tcW w:w="1717" w:type="dxa"/>
          </w:tcPr>
          <w:p>
            <w:pPr>
              <w:rPr>
                <w:rFonts w:hint="eastAsia" w:eastAsia="宋体"/>
                <w:lang w:val="en-US" w:eastAsia="zh-CN"/>
              </w:rPr>
            </w:pPr>
            <w:r>
              <w:rPr>
                <w:rFonts w:hint="eastAsia"/>
                <w:lang w:val="en-US" w:eastAsia="zh-CN"/>
              </w:rPr>
              <w:t>0</w:t>
            </w:r>
          </w:p>
        </w:tc>
        <w:tc>
          <w:tcPr>
            <w:tcW w:w="1560" w:type="dxa"/>
            <w:vMerge w:val="continue"/>
            <w:tcBorders/>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pPr>
              <w:rPr>
                <w:rFonts w:hint="eastAsia" w:ascii="Times New Roman" w:hAnsi="Times New Roman" w:eastAsia="宋体" w:cs="Times New Roman"/>
                <w:kern w:val="2"/>
                <w:sz w:val="21"/>
                <w:szCs w:val="24"/>
                <w:lang w:val="en-US" w:eastAsia="zh-CN" w:bidi="ar-SA"/>
              </w:rPr>
            </w:pPr>
            <w:r>
              <w:rPr>
                <w:rFonts w:hint="eastAsia"/>
              </w:rPr>
              <w:t>E</w:t>
            </w:r>
            <w:r>
              <w:rPr>
                <w:rFonts w:hint="eastAsia"/>
                <w:lang w:val="en-US" w:eastAsia="zh-CN"/>
              </w:rPr>
              <w:t>n</w:t>
            </w:r>
            <w:r>
              <w:rPr>
                <w:rFonts w:hint="eastAsia"/>
              </w:rPr>
              <w:t>MS</w:t>
            </w:r>
          </w:p>
        </w:tc>
        <w:tc>
          <w:tcPr>
            <w:tcW w:w="1698"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lang w:val="en-US" w:eastAsia="zh-CN"/>
              </w:rPr>
              <w:t>(合并）</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0</w:t>
            </w:r>
          </w:p>
        </w:tc>
        <w:tc>
          <w:tcPr>
            <w:tcW w:w="1560" w:type="dxa"/>
            <w:vMerge w:val="continue"/>
            <w:tcBorders/>
            <w:vAlign w:val="top"/>
          </w:tcPr>
          <w:p>
            <w:pPr>
              <w:rPr>
                <w:rFonts w:ascii="Times New Roman" w:hAnsi="Times New Roman" w:eastAsia="宋体" w:cs="Times New Roman"/>
                <w:kern w:val="2"/>
                <w:sz w:val="21"/>
                <w:szCs w:val="24"/>
                <w:lang w:val="en-US" w:eastAsia="zh-CN" w:bidi="ar-SA"/>
              </w:rPr>
            </w:pPr>
          </w:p>
        </w:tc>
        <w:tc>
          <w:tcPr>
            <w:tcW w:w="2965" w:type="dxa"/>
            <w:vAlign w:val="top"/>
          </w:tcPr>
          <w:p>
            <w:pPr>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inline distT="0" distB="0" distL="114300" distR="114300">
                  <wp:extent cx="982345" cy="306070"/>
                  <wp:effectExtent l="0" t="0" r="0" b="11430"/>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7"/>
                          <a:stretch>
                            <a:fillRect/>
                          </a:stretch>
                        </pic:blipFill>
                        <pic:spPr>
                          <a:xfrm>
                            <a:off x="0" y="0"/>
                            <a:ext cx="982345" cy="30607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2022.7.14</w:t>
            </w:r>
          </w:p>
        </w:tc>
      </w:tr>
    </w:tbl>
    <w:p/>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52"/>
            </w:r>
            <w:r>
              <w:rPr>
                <w:rFonts w:hint="eastAsia"/>
              </w:rPr>
              <w:t>生产/服务过程</w:t>
            </w:r>
            <w:r>
              <w:rPr>
                <w:rFonts w:hint="eastAsia"/>
              </w:rPr>
              <w:sym w:font="Wingdings 2" w:char="0052"/>
            </w:r>
            <w:r>
              <w:rPr>
                <w:rFonts w:hint="eastAsia"/>
              </w:rPr>
              <w:t>检验检测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w:t>
            </w:r>
            <w:r>
              <w:rPr>
                <w:rFonts w:hint="eastAsia"/>
                <w:lang w:val="en-US" w:eastAsia="zh-CN"/>
              </w:rPr>
              <w:t>质量</w:t>
            </w:r>
            <w:r>
              <w:rPr>
                <w:rFonts w:hint="eastAsia"/>
              </w:rPr>
              <w:t>管理体系方针：</w:t>
            </w:r>
            <w:r>
              <w:rPr>
                <w:rFonts w:hint="eastAsia" w:ascii="Times New Roman" w:hAnsi="Times New Roman" w:eastAsia="宋体" w:cs="Times New Roman"/>
                <w:color w:val="000000"/>
                <w:kern w:val="2"/>
                <w:sz w:val="21"/>
                <w:szCs w:val="18"/>
                <w:lang w:val="en-US" w:eastAsia="zh-CN" w:bidi="ar-SA"/>
              </w:rPr>
              <w:t>精益求精，增强顾客满意；精益求进，实现持续改进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质量管理部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担心经营不合规，导致监管部门的处罚</w:t>
                  </w:r>
                </w:p>
              </w:tc>
              <w:tc>
                <w:tcPr>
                  <w:tcW w:w="3965" w:type="dxa"/>
                  <w:vAlign w:val="top"/>
                </w:tcPr>
                <w:p>
                  <w:pPr>
                    <w:pStyle w:val="6"/>
                    <w:numPr>
                      <w:ilvl w:val="0"/>
                      <w:numId w:val="3"/>
                    </w:numPr>
                    <w:ind w:leftChars="0"/>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6"/>
                    <w:numPr>
                      <w:ilvl w:val="0"/>
                      <w:numId w:val="3"/>
                    </w:numPr>
                    <w:ind w:left="0" w:left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不定期收集质量、环保、职业健康安全、等法律法规标准要求；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1991"/>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1991"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1.铁水合格率95%</w:t>
                  </w:r>
                  <w:r>
                    <w:rPr>
                      <w:rFonts w:hint="eastAsia" w:cs="Times New Roman"/>
                      <w:color w:val="000000"/>
                      <w:kern w:val="2"/>
                      <w:sz w:val="21"/>
                      <w:szCs w:val="18"/>
                      <w:lang w:val="en-US" w:eastAsia="zh-CN" w:bidi="ar-SA"/>
                    </w:rPr>
                    <w:t xml:space="preserve">                             </w:t>
                  </w:r>
                </w:p>
              </w:tc>
              <w:tc>
                <w:tcPr>
                  <w:tcW w:w="1991"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合格铁水/总产量*100%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2</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铁水一级品率70%</w:t>
                  </w:r>
                  <w:r>
                    <w:rPr>
                      <w:rFonts w:hint="eastAsia" w:cs="Times New Roman"/>
                      <w:color w:val="000000"/>
                      <w:kern w:val="2"/>
                      <w:sz w:val="21"/>
                      <w:szCs w:val="18"/>
                      <w:lang w:val="en-US" w:eastAsia="zh-CN" w:bidi="ar-SA"/>
                    </w:rPr>
                    <w:t xml:space="preserve">                          </w:t>
                  </w:r>
                </w:p>
              </w:tc>
              <w:tc>
                <w:tcPr>
                  <w:tcW w:w="1991"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一级铁水/总铁水</w:t>
                  </w:r>
                  <w:r>
                    <w:rPr>
                      <w:rFonts w:hint="eastAsia"/>
                      <w:lang w:val="en-US" w:eastAsia="zh-CN"/>
                    </w:rPr>
                    <w:t>*100%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3</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铸坯综合合格率99.80%</w:t>
                  </w:r>
                  <w:r>
                    <w:rPr>
                      <w:rFonts w:hint="eastAsia" w:cs="Times New Roman"/>
                      <w:color w:val="000000"/>
                      <w:kern w:val="2"/>
                      <w:sz w:val="21"/>
                      <w:szCs w:val="18"/>
                      <w:lang w:val="en-US" w:eastAsia="zh-CN" w:bidi="ar-SA"/>
                    </w:rPr>
                    <w:t xml:space="preserve">                       </w:t>
                  </w:r>
                </w:p>
              </w:tc>
              <w:tc>
                <w:tcPr>
                  <w:tcW w:w="1991"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铸坯的合格量/总量</w:t>
                  </w:r>
                  <w:r>
                    <w:rPr>
                      <w:rFonts w:hint="eastAsia"/>
                      <w:lang w:val="en-US" w:eastAsia="zh-CN"/>
                    </w:rPr>
                    <w:t>*100%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4</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钢号命中率99.70%</w:t>
                  </w:r>
                  <w:r>
                    <w:rPr>
                      <w:rFonts w:hint="eastAsia" w:cs="Times New Roman"/>
                      <w:color w:val="000000"/>
                      <w:kern w:val="2"/>
                      <w:sz w:val="21"/>
                      <w:szCs w:val="18"/>
                      <w:lang w:val="en-US" w:eastAsia="zh-CN" w:bidi="ar-SA"/>
                    </w:rPr>
                    <w:t xml:space="preserve">                           </w:t>
                  </w:r>
                </w:p>
              </w:tc>
              <w:tc>
                <w:tcPr>
                  <w:tcW w:w="1991"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计算公式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5</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烧结矿R2稳定率（±0.1）≥80%</w:t>
                  </w:r>
                  <w:r>
                    <w:rPr>
                      <w:rFonts w:hint="eastAsia" w:cs="Times New Roman"/>
                      <w:color w:val="000000"/>
                      <w:kern w:val="2"/>
                      <w:sz w:val="21"/>
                      <w:szCs w:val="18"/>
                      <w:lang w:val="en-US" w:eastAsia="zh-CN" w:bidi="ar-SA"/>
                    </w:rPr>
                    <w:t xml:space="preserve">                </w:t>
                  </w:r>
                </w:p>
              </w:tc>
              <w:tc>
                <w:tcPr>
                  <w:tcW w:w="1991"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计算公式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6</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烧结矿FeO(8-11%)稳定率≥85%</w:t>
                  </w:r>
                </w:p>
              </w:tc>
              <w:tc>
                <w:tcPr>
                  <w:tcW w:w="1991"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计算公式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7</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烧结矿转鼓强度≥75%</w:t>
                  </w:r>
                </w:p>
              </w:tc>
              <w:tc>
                <w:tcPr>
                  <w:tcW w:w="1991"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计算公式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8</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石灰块CaO≥85指标≥80%</w:t>
                  </w:r>
                </w:p>
              </w:tc>
              <w:tc>
                <w:tcPr>
                  <w:tcW w:w="1991"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计算公式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widowControl/>
                    <w:jc w:val="left"/>
                  </w:pPr>
                  <w:r>
                    <w:rPr>
                      <w:rFonts w:hint="eastAsia" w:ascii="Times New Roman" w:hAnsi="Times New Roman" w:eastAsia="宋体" w:cs="Times New Roman"/>
                      <w:color w:val="000000"/>
                      <w:kern w:val="2"/>
                      <w:sz w:val="21"/>
                      <w:szCs w:val="18"/>
                      <w:lang w:val="en-US" w:eastAsia="zh-CN" w:bidi="ar-SA"/>
                    </w:rPr>
                    <w:t>9</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白灰面CaO≥85指标≥85%</w:t>
                  </w:r>
                </w:p>
              </w:tc>
              <w:tc>
                <w:tcPr>
                  <w:tcW w:w="1991"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计算公式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shd w:val="clear" w:color="auto" w:fill="C7DAF1" w:themeFill="text2" w:themeFillTint="32"/>
                  </w:pPr>
                  <w:r>
                    <w:rPr>
                      <w:rFonts w:hint="eastAsia" w:ascii="Times New Roman" w:hAnsi="Times New Roman" w:eastAsia="宋体" w:cs="Times New Roman"/>
                      <w:color w:val="000000"/>
                      <w:kern w:val="2"/>
                      <w:sz w:val="21"/>
                      <w:szCs w:val="18"/>
                      <w:lang w:val="en-US" w:eastAsia="zh-CN" w:bidi="ar-SA"/>
                    </w:rPr>
                    <w:t>10</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顾客满意度≥90分；顾客投诉率为0</w:t>
                  </w:r>
                </w:p>
              </w:tc>
              <w:tc>
                <w:tcPr>
                  <w:tcW w:w="1991"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计算公式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质量管理部</w:t>
                  </w: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6" w:type="dxa"/>
                  <w:shd w:val="clear" w:color="auto" w:fill="auto"/>
                </w:tcPr>
                <w:p>
                  <w:pPr>
                    <w:shd w:val="clear" w:color="auto" w:fill="C7DAF1" w:themeFill="text2" w:themeFillTint="32"/>
                  </w:pPr>
                </w:p>
              </w:tc>
              <w:tc>
                <w:tcPr>
                  <w:tcW w:w="1991"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val="en-US" w:eastAsia="zh-CN"/>
              </w:rPr>
              <w:t>占地</w:t>
            </w:r>
            <w:r>
              <w:rPr>
                <w:rFonts w:hint="eastAsia"/>
              </w:rPr>
              <w:t>面积</w:t>
            </w:r>
            <w:r>
              <w:rPr>
                <w:rFonts w:hint="eastAsia"/>
                <w:lang w:val="en-US" w:eastAsia="zh-CN"/>
              </w:rPr>
              <w:t>1446000</w:t>
            </w:r>
            <w:r>
              <w:rPr>
                <w:rFonts w:hint="eastAsia"/>
              </w:rPr>
              <w:t>平方米；生产</w:t>
            </w:r>
            <w:r>
              <w:rPr>
                <w:rFonts w:hint="eastAsia"/>
                <w:lang w:val="en-US" w:eastAsia="zh-CN"/>
              </w:rPr>
              <w:t>厂6</w:t>
            </w:r>
            <w:r>
              <w:rPr>
                <w:rFonts w:hint="eastAsia"/>
              </w:rPr>
              <w:t>个</w:t>
            </w:r>
            <w:r>
              <w:rPr>
                <w:rFonts w:hint="eastAsia"/>
                <w:lang w:eastAsia="zh-CN"/>
              </w:rPr>
              <w:t>（</w:t>
            </w:r>
            <w:r>
              <w:rPr>
                <w:rFonts w:hint="eastAsia"/>
                <w:lang w:val="en-US" w:eastAsia="zh-CN"/>
              </w:rPr>
              <w:t>其中：原料厂为原辅材料的储存和管理、炼钢厂负责产品的储存和管理</w:t>
            </w:r>
            <w:r>
              <w:rPr>
                <w:rFonts w:hint="eastAsia"/>
                <w:lang w:eastAsia="zh-CN"/>
              </w:rPr>
              <w:t>）</w:t>
            </w:r>
            <w:r>
              <w:rPr>
                <w:rFonts w:hint="eastAsia"/>
              </w:rPr>
              <w:t>；实验室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color w:val="auto"/>
                <w:u w:val="single"/>
                <w:lang w:val="en-US" w:eastAsia="zh-CN"/>
              </w:rPr>
              <w:t>炼铁炉、炼钢炉、烧结炉、空压机、制氧设备、汽轮机、燃气锅炉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color w:val="auto"/>
                <w:szCs w:val="21"/>
                <w:u w:val="single"/>
                <w:lang w:eastAsia="zh-CN"/>
              </w:rPr>
              <w:t>天平、制样粉碎机、焦炭热强度分析仪、荧光分析仪、熔样炉、自动热量仪、自动测流仪、</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暂无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烧结、炼铁、炼钢</w:t>
                  </w:r>
                </w:p>
              </w:tc>
              <w:tc>
                <w:tcPr>
                  <w:tcW w:w="3665" w:type="dxa"/>
                </w:tcPr>
                <w:p>
                  <w:pPr>
                    <w:shd w:val="clear" w:color="auto" w:fill="C7DAF1" w:themeFill="text2" w:themeFillTint="32"/>
                    <w:jc w:val="left"/>
                  </w:pPr>
                  <w:r>
                    <w:rPr>
                      <w:rFonts w:hint="eastAsia"/>
                      <w:color w:val="000000"/>
                      <w:u w:val="single"/>
                      <w:lang w:eastAsia="zh-CN"/>
                    </w:rPr>
                    <w:t>烧结过程、熔炼</w:t>
                  </w:r>
                </w:p>
              </w:tc>
              <w:tc>
                <w:tcPr>
                  <w:tcW w:w="3265" w:type="dxa"/>
                </w:tcPr>
                <w:p>
                  <w:r>
                    <w:rPr>
                      <w:rFonts w:hint="eastAsia"/>
                      <w:color w:val="000000"/>
                      <w:lang w:eastAsia="zh-CN"/>
                    </w:rPr>
                    <w:t>原料成分、转鼓强度、配料、温度、风量、吹氧量等</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color w:val="000000"/>
                <w:u w:val="single"/>
                <w:lang w:eastAsia="zh-CN"/>
              </w:rPr>
              <w:t>配料</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开具了不符合</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同上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sym w:font="Wingdings 2" w:char="0052"/>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7--10日</w:t>
            </w:r>
            <w:r>
              <w:rPr>
                <w:rFonts w:hint="eastAsia"/>
              </w:rPr>
              <w:t>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r>
              <w:rPr>
                <w:rFonts w:hint="eastAsia"/>
                <w:lang w:val="en-US" w:eastAsia="zh-CN"/>
              </w:rPr>
              <w:t>1（合并</w:t>
            </w: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w:t>
                  </w:r>
                </w:p>
                <w:p>
                  <w:pPr>
                    <w:shd w:val="clear" w:color="auto" w:fill="EBF1DE" w:themeFill="accent3" w:themeFillTint="32"/>
                  </w:pPr>
                  <w:r>
                    <w:rPr>
                      <w:rFonts w:hint="eastAsia"/>
                    </w:rPr>
                    <w:t>□政治</w:t>
                  </w:r>
                  <w:r>
                    <w:rPr>
                      <w:rFonts w:hint="eastAsia"/>
                    </w:rPr>
                    <w:sym w:font="Wingdings 2" w:char="0052"/>
                  </w:r>
                  <w:r>
                    <w:rPr>
                      <w:rFonts w:hint="eastAsia"/>
                    </w:rPr>
                    <w:t>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设备□人员能力</w:t>
                  </w:r>
                </w:p>
                <w:p>
                  <w:pPr>
                    <w:shd w:val="clear" w:color="auto" w:fill="EBF1DE" w:themeFill="accent3" w:themeFillTint="32"/>
                  </w:pPr>
                  <w:r>
                    <w:rPr>
                      <w:rFonts w:hint="eastAsia"/>
                    </w:rPr>
                    <w:t>□</w:t>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达标排放□消防控制□危化品管理□特种设备管理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环保监测□产品运输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w:t>
            </w:r>
            <w:r>
              <w:rPr>
                <w:rFonts w:hint="eastAsia"/>
                <w:lang w:val="en-US" w:eastAsia="zh-CN"/>
              </w:rPr>
              <w:t>环境</w:t>
            </w:r>
            <w:r>
              <w:rPr>
                <w:rFonts w:hint="eastAsia"/>
              </w:rPr>
              <w:t>管理体系方针：</w:t>
            </w:r>
            <w:r>
              <w:rPr>
                <w:rFonts w:hint="eastAsia" w:ascii="Times New Roman" w:hAnsi="Times New Roman" w:eastAsia="宋体" w:cs="Times New Roman"/>
                <w:color w:val="000000"/>
                <w:kern w:val="2"/>
                <w:sz w:val="21"/>
                <w:szCs w:val="18"/>
                <w:lang w:val="en-US" w:eastAsia="zh-CN" w:bidi="ar-SA"/>
              </w:rPr>
              <w:t>预防为主、防治结合、遵纪守法、综合治理</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eastAsia="宋体"/>
                      <w:lang w:val="en-US" w:eastAsia="zh-CN"/>
                    </w:rPr>
                  </w:pPr>
                  <w:r>
                    <w:rPr>
                      <w:rFonts w:hint="eastAsia"/>
                      <w:lang w:val="en-US" w:eastAsia="zh-CN"/>
                    </w:rPr>
                    <w:t>法律法规风险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及时识别法律法规</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环保设施故障风险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做好预防性维修</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eastAsia" w:eastAsia="宋体"/>
                <w:lang w:val="en-US" w:eastAsia="zh-CN"/>
              </w:rPr>
            </w:pPr>
            <w:r>
              <w:rPr>
                <w:rFonts w:hint="eastAsia"/>
              </w:rPr>
              <w:t>□安全生产许可证编号：</w:t>
            </w:r>
            <w:r>
              <w:rPr>
                <w:rFonts w:hint="eastAsia"/>
                <w:lang w:val="en-US" w:eastAsia="zh-CN"/>
              </w:rPr>
              <w:t>不适用</w:t>
            </w:r>
          </w:p>
          <w:p>
            <w:pPr>
              <w:shd w:val="clear" w:color="auto" w:fill="EBF1DE" w:themeFill="accent3" w:themeFillTint="32"/>
              <w:rPr>
                <w:rFonts w:hint="default"/>
                <w:lang w:val="en-US" w:eastAsia="zh-CN"/>
              </w:rPr>
            </w:pPr>
            <w:r>
              <w:rPr>
                <w:rFonts w:hint="eastAsia"/>
              </w:rPr>
              <w:sym w:font="Wingdings 2" w:char="0052"/>
            </w:r>
            <w:r>
              <w:rPr>
                <w:rFonts w:hint="eastAsia"/>
              </w:rPr>
              <w:t>排污许可证编号：</w:t>
            </w:r>
            <w:r>
              <w:rPr>
                <w:rFonts w:hint="eastAsia"/>
                <w:lang w:val="en-US" w:eastAsia="zh-CN"/>
              </w:rPr>
              <w:t>91130294MA0DB1888M001P，有效期至2022年9月23日</w:t>
            </w:r>
          </w:p>
          <w:p>
            <w:pPr>
              <w:shd w:val="clear" w:color="auto" w:fill="EBF1DE" w:themeFill="accent3" w:themeFillTint="32"/>
            </w:pPr>
            <w:r>
              <w:rPr>
                <w:rFonts w:hint="eastAsia"/>
              </w:rPr>
              <w:sym w:font="Wingdings 2" w:char="00A3"/>
            </w: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批复时间：2019年9月19日</w:t>
            </w:r>
          </w:p>
          <w:p>
            <w:pPr>
              <w:shd w:val="clear" w:color="auto" w:fill="EBF1DE" w:themeFill="accent3" w:themeFillTint="32"/>
              <w:rPr>
                <w:rFonts w:hint="default" w:eastAsia="宋体"/>
                <w:lang w:val="en-US" w:eastAsia="zh-CN"/>
              </w:rPr>
            </w:pPr>
            <w:r>
              <w:rPr>
                <w:rFonts w:hint="eastAsia"/>
              </w:rPr>
              <w:t>□消防验收/备案证明日期：</w:t>
            </w:r>
            <w:r>
              <w:rPr>
                <w:rFonts w:hint="eastAsia"/>
                <w:lang w:val="en-US" w:eastAsia="zh-CN"/>
              </w:rPr>
              <w:t>尚未获取</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7"/>
              <w:gridCol w:w="230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30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tcPr>
                <w:p>
                  <w:pPr>
                    <w:widowControl/>
                    <w:jc w:val="left"/>
                  </w:pPr>
                  <w:r>
                    <w:rPr>
                      <w:rFonts w:hint="eastAsia" w:ascii="宋体" w:hAnsi="宋体"/>
                      <w:color w:val="000000"/>
                      <w:szCs w:val="21"/>
                      <w:lang w:val="en-US" w:eastAsia="zh-CN"/>
                    </w:rPr>
                    <w:t>1.</w:t>
                  </w:r>
                  <w:r>
                    <w:rPr>
                      <w:rFonts w:hint="eastAsia" w:ascii="宋体" w:hAnsi="宋体"/>
                      <w:color w:val="000000"/>
                      <w:szCs w:val="21"/>
                      <w:lang w:eastAsia="zh-CN"/>
                    </w:rPr>
                    <w:t>环保设施同步运行率、完好率达到100%</w:t>
                  </w:r>
                </w:p>
              </w:tc>
              <w:tc>
                <w:tcPr>
                  <w:tcW w:w="230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加强设施运行管理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各生产厂</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tcPr>
                <w:p>
                  <w:pPr>
                    <w:widowControl/>
                    <w:jc w:val="left"/>
                  </w:pPr>
                  <w:r>
                    <w:rPr>
                      <w:rFonts w:hint="eastAsia" w:ascii="宋体" w:hAnsi="宋体"/>
                      <w:color w:val="000000"/>
                      <w:szCs w:val="21"/>
                      <w:lang w:val="en-US" w:eastAsia="zh-CN"/>
                    </w:rPr>
                    <w:t>2.</w:t>
                  </w:r>
                  <w:r>
                    <w:rPr>
                      <w:rFonts w:hint="eastAsia" w:ascii="宋体" w:hAnsi="宋体"/>
                      <w:color w:val="000000"/>
                      <w:szCs w:val="21"/>
                    </w:rPr>
                    <w:t>废气中</w:t>
                  </w:r>
                  <w:r>
                    <w:rPr>
                      <w:rFonts w:ascii="宋体" w:hAnsi="宋体"/>
                      <w:color w:val="000000"/>
                      <w:szCs w:val="21"/>
                    </w:rPr>
                    <w:t>SO2、NOx等主要污染物浓度达标排放率100%。（符合国家排放标准）</w:t>
                  </w:r>
                </w:p>
              </w:tc>
              <w:tc>
                <w:tcPr>
                  <w:tcW w:w="2300" w:type="dxa"/>
                  <w:shd w:val="clear" w:color="auto" w:fill="auto"/>
                  <w:vAlign w:val="center"/>
                </w:tcPr>
                <w:p>
                  <w:pPr>
                    <w:shd w:val="clear" w:color="auto" w:fill="EBF1DE" w:themeFill="accent3" w:themeFillTint="32"/>
                    <w:rPr>
                      <w:lang w:val="en-GB"/>
                    </w:rPr>
                  </w:pPr>
                  <w:r>
                    <w:rPr>
                      <w:rFonts w:hint="eastAsia"/>
                      <w:lang w:val="en-US" w:eastAsia="zh-CN"/>
                    </w:rPr>
                    <w:t>加强设施运行管理</w:t>
                  </w:r>
                </w:p>
              </w:tc>
              <w:tc>
                <w:tcPr>
                  <w:tcW w:w="1350" w:type="dxa"/>
                  <w:shd w:val="clear" w:color="auto" w:fill="auto"/>
                  <w:vAlign w:val="center"/>
                </w:tcPr>
                <w:p>
                  <w:pPr>
                    <w:shd w:val="clear" w:color="auto" w:fill="EBF1DE" w:themeFill="accent3" w:themeFillTint="32"/>
                    <w:rPr>
                      <w:lang w:val="en-GB"/>
                    </w:rPr>
                  </w:pPr>
                  <w:r>
                    <w:rPr>
                      <w:rFonts w:hint="eastAsia"/>
                      <w:lang w:val="en-US" w:eastAsia="zh-CN"/>
                    </w:rPr>
                    <w:t>各生产厂</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tcPr>
                <w:p>
                  <w:pPr>
                    <w:widowControl/>
                    <w:jc w:val="left"/>
                  </w:pPr>
                  <w:r>
                    <w:rPr>
                      <w:rFonts w:hint="eastAsia" w:ascii="宋体" w:hAnsi="宋体"/>
                      <w:color w:val="000000"/>
                      <w:szCs w:val="21"/>
                      <w:lang w:val="en-US" w:eastAsia="zh-CN"/>
                    </w:rPr>
                    <w:t>3.</w:t>
                  </w:r>
                  <w:r>
                    <w:rPr>
                      <w:rFonts w:ascii="宋体" w:hAnsi="宋体"/>
                      <w:color w:val="000000"/>
                      <w:szCs w:val="21"/>
                    </w:rPr>
                    <w:t>颗粒物浓度达标排放率100%（符合国家排放标准）</w:t>
                  </w:r>
                </w:p>
              </w:tc>
              <w:tc>
                <w:tcPr>
                  <w:tcW w:w="2300" w:type="dxa"/>
                  <w:shd w:val="clear" w:color="auto" w:fill="auto"/>
                  <w:vAlign w:val="center"/>
                </w:tcPr>
                <w:p>
                  <w:pPr>
                    <w:shd w:val="clear" w:color="auto" w:fill="EBF1DE" w:themeFill="accent3" w:themeFillTint="32"/>
                    <w:rPr>
                      <w:rFonts w:ascii="宋体" w:hAnsi="宋体"/>
                    </w:rPr>
                  </w:pPr>
                  <w:r>
                    <w:rPr>
                      <w:rFonts w:hint="eastAsia"/>
                      <w:lang w:val="en-US" w:eastAsia="zh-CN"/>
                    </w:rPr>
                    <w:t>加强设施运行管理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各生产厂</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tcPr>
                <w:p>
                  <w:pPr>
                    <w:widowControl/>
                    <w:jc w:val="left"/>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lang w:eastAsia="zh-CN"/>
                    </w:rPr>
                    <w:t>.</w:t>
                  </w:r>
                  <w:r>
                    <w:rPr>
                      <w:rFonts w:hint="eastAsia" w:ascii="宋体" w:hAnsi="宋体"/>
                      <w:color w:val="000000"/>
                      <w:szCs w:val="21"/>
                    </w:rPr>
                    <w:t>东、南、西厂界噪</w:t>
                  </w:r>
                </w:p>
                <w:p>
                  <w:pPr>
                    <w:shd w:val="clear" w:color="auto" w:fill="EBF1DE" w:themeFill="accent3" w:themeFillTint="32"/>
                  </w:pPr>
                  <w:r>
                    <w:rPr>
                      <w:rFonts w:hint="eastAsia" w:ascii="宋体" w:hAnsi="宋体"/>
                      <w:color w:val="000000"/>
                      <w:szCs w:val="21"/>
                    </w:rPr>
                    <w:t>声符合昼间65db,夜间55db三类标准、北厂界噪声符合昼间70db,夜间55db四类标准</w:t>
                  </w:r>
                </w:p>
              </w:tc>
              <w:tc>
                <w:tcPr>
                  <w:tcW w:w="2300" w:type="dxa"/>
                  <w:shd w:val="clear" w:color="auto" w:fill="auto"/>
                  <w:vAlign w:val="center"/>
                </w:tcPr>
                <w:p>
                  <w:pPr>
                    <w:shd w:val="clear" w:color="auto" w:fill="EBF1DE" w:themeFill="accent3" w:themeFillTint="32"/>
                    <w:rPr>
                      <w:rFonts w:ascii="宋体" w:hAnsi="宋体"/>
                    </w:rPr>
                  </w:pPr>
                  <w:r>
                    <w:rPr>
                      <w:rFonts w:hint="eastAsia"/>
                      <w:lang w:val="en-US" w:eastAsia="zh-CN"/>
                    </w:rPr>
                    <w:t>加强设施运行管理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各生产厂</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tcPr>
                <w:p>
                  <w:pPr>
                    <w:widowControl/>
                    <w:jc w:val="left"/>
                  </w:pPr>
                  <w:r>
                    <w:rPr>
                      <w:rFonts w:hint="eastAsia" w:ascii="宋体" w:hAnsi="宋体"/>
                      <w:color w:val="000000"/>
                      <w:szCs w:val="21"/>
                    </w:rPr>
                    <w:t>5</w:t>
                  </w:r>
                  <w:r>
                    <w:rPr>
                      <w:rFonts w:hint="eastAsia" w:ascii="宋体" w:hAnsi="宋体"/>
                      <w:color w:val="000000"/>
                      <w:szCs w:val="21"/>
                      <w:lang w:eastAsia="zh-CN"/>
                    </w:rPr>
                    <w:t>.</w:t>
                  </w:r>
                  <w:r>
                    <w:rPr>
                      <w:rFonts w:hint="eastAsia" w:ascii="宋体" w:hAnsi="宋体"/>
                      <w:color w:val="000000"/>
                      <w:szCs w:val="21"/>
                    </w:rPr>
                    <w:t>工业废物分类并规范处理率100%</w:t>
                  </w:r>
                </w:p>
              </w:tc>
              <w:tc>
                <w:tcPr>
                  <w:tcW w:w="2300" w:type="dxa"/>
                  <w:shd w:val="clear" w:color="auto" w:fill="auto"/>
                  <w:vAlign w:val="center"/>
                </w:tcPr>
                <w:p>
                  <w:pPr>
                    <w:shd w:val="clear" w:color="auto" w:fill="EBF1DE" w:themeFill="accent3" w:themeFillTint="32"/>
                    <w:rPr>
                      <w:rFonts w:ascii="宋体" w:hAnsi="宋体"/>
                    </w:rPr>
                  </w:pPr>
                  <w:r>
                    <w:rPr>
                      <w:rFonts w:hint="eastAsia"/>
                      <w:lang w:val="en-US" w:eastAsia="zh-CN"/>
                    </w:rPr>
                    <w:t>加强设施运行管理</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环保部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shd w:val="clear" w:color="auto" w:fill="auto"/>
                </w:tcPr>
                <w:p>
                  <w:pPr>
                    <w:widowControl/>
                    <w:jc w:val="left"/>
                  </w:pPr>
                  <w:r>
                    <w:rPr>
                      <w:rFonts w:hint="eastAsia" w:ascii="宋体" w:hAnsi="宋体"/>
                      <w:color w:val="000000"/>
                      <w:szCs w:val="21"/>
                    </w:rPr>
                    <w:t>6</w:t>
                  </w:r>
                  <w:r>
                    <w:rPr>
                      <w:rFonts w:hint="eastAsia" w:ascii="宋体" w:hAnsi="宋体"/>
                      <w:color w:val="000000"/>
                      <w:szCs w:val="21"/>
                      <w:lang w:eastAsia="zh-CN"/>
                    </w:rPr>
                    <w:t>.</w:t>
                  </w:r>
                  <w:r>
                    <w:rPr>
                      <w:rFonts w:hint="eastAsia" w:ascii="宋体" w:hAnsi="宋体"/>
                      <w:color w:val="000000"/>
                      <w:szCs w:val="21"/>
                    </w:rPr>
                    <w:t>环境污染事故为零</w:t>
                  </w:r>
                </w:p>
              </w:tc>
              <w:tc>
                <w:tcPr>
                  <w:tcW w:w="2300" w:type="dxa"/>
                  <w:shd w:val="clear" w:color="auto" w:fill="auto"/>
                  <w:vAlign w:val="center"/>
                </w:tcPr>
                <w:p>
                  <w:pPr>
                    <w:shd w:val="clear" w:color="auto" w:fill="EBF1DE" w:themeFill="accent3" w:themeFillTint="32"/>
                    <w:rPr>
                      <w:rFonts w:ascii="宋体" w:hAnsi="宋体"/>
                    </w:rPr>
                  </w:pPr>
                  <w:r>
                    <w:rPr>
                      <w:rFonts w:hint="eastAsia"/>
                      <w:lang w:val="en-US" w:eastAsia="zh-CN"/>
                    </w:rPr>
                    <w:t>加强设施运行管理</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环保部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val="en-US" w:eastAsia="zh-CN"/>
              </w:rPr>
              <w:t>占地</w:t>
            </w:r>
            <w:r>
              <w:rPr>
                <w:rFonts w:hint="eastAsia"/>
              </w:rPr>
              <w:t>面积</w:t>
            </w:r>
            <w:r>
              <w:rPr>
                <w:rFonts w:hint="eastAsia"/>
                <w:lang w:val="en-US" w:eastAsia="zh-CN"/>
              </w:rPr>
              <w:t>1446000</w:t>
            </w:r>
            <w:r>
              <w:rPr>
                <w:rFonts w:hint="eastAsia"/>
              </w:rPr>
              <w:t>平方米；生产</w:t>
            </w:r>
            <w:r>
              <w:rPr>
                <w:rFonts w:hint="eastAsia"/>
                <w:lang w:val="en-US" w:eastAsia="zh-CN"/>
              </w:rPr>
              <w:t>厂6</w:t>
            </w:r>
            <w:r>
              <w:rPr>
                <w:rFonts w:hint="eastAsia"/>
              </w:rPr>
              <w:t>个</w:t>
            </w:r>
            <w:r>
              <w:rPr>
                <w:rFonts w:hint="eastAsia"/>
                <w:lang w:eastAsia="zh-CN"/>
              </w:rPr>
              <w:t>（</w:t>
            </w:r>
            <w:r>
              <w:rPr>
                <w:rFonts w:hint="eastAsia"/>
                <w:lang w:val="en-US" w:eastAsia="zh-CN"/>
              </w:rPr>
              <w:t>其中：原料厂为原辅材料的储存和管理、炼钢厂负责产品的储存和管理</w:t>
            </w:r>
            <w:r>
              <w:rPr>
                <w:rFonts w:hint="eastAsia"/>
                <w:lang w:eastAsia="zh-CN"/>
              </w:rPr>
              <w:t>）</w:t>
            </w:r>
            <w:r>
              <w:rPr>
                <w:rFonts w:hint="eastAsia"/>
              </w:rPr>
              <w:t>；实验室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color w:val="auto"/>
                <w:u w:val="single"/>
                <w:lang w:val="en-US" w:eastAsia="zh-CN"/>
              </w:rPr>
              <w:t>炼铁炉、炼钢炉、烧结炉、空压机、制氧设备、汽轮机、燃气锅炉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脱硝设施、除尘系统</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红外碳硫分析仪计、波长色散X射线荧光光谱仪</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暂无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节约能源和资源</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节约能源和资源</w:t>
                  </w:r>
                </w:p>
              </w:tc>
              <w:tc>
                <w:tcPr>
                  <w:tcW w:w="3265" w:type="dxa"/>
                  <w:vAlign w:val="top"/>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开好污水处理设施</w:t>
                  </w:r>
                </w:p>
              </w:tc>
              <w:tc>
                <w:tcPr>
                  <w:tcW w:w="3265" w:type="dxa"/>
                  <w:vAlign w:val="top"/>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运行好废气处理设施</w:t>
                  </w:r>
                </w:p>
              </w:tc>
              <w:tc>
                <w:tcPr>
                  <w:tcW w:w="3265" w:type="dxa"/>
                  <w:vAlign w:val="top"/>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加强对高噪声设备的治理，都采用高效低噪设备</w:t>
                  </w:r>
                </w:p>
              </w:tc>
              <w:tc>
                <w:tcPr>
                  <w:tcW w:w="3265" w:type="dxa"/>
                  <w:vAlign w:val="top"/>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分类管理合规处置</w:t>
                  </w:r>
                </w:p>
              </w:tc>
              <w:tc>
                <w:tcPr>
                  <w:tcW w:w="3265" w:type="dxa"/>
                  <w:vAlign w:val="top"/>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静电除尘，粉尘合理处置</w:t>
                  </w:r>
                </w:p>
              </w:tc>
              <w:tc>
                <w:tcPr>
                  <w:tcW w:w="3265" w:type="dxa"/>
                  <w:vAlign w:val="top"/>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做好环境应急预案演练</w:t>
                  </w:r>
                </w:p>
              </w:tc>
              <w:tc>
                <w:tcPr>
                  <w:tcW w:w="3265" w:type="dxa"/>
                  <w:vAlign w:val="top"/>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锅炉、压力管道、电梯</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锅炉爆炸</w:t>
            </w:r>
            <w:r>
              <w:rPr>
                <w:rFonts w:hint="eastAsia" w:ascii="Wingdings" w:hAnsi="Wingdings"/>
                <w:lang w:eastAsia="zh-CN"/>
              </w:rPr>
              <w:sym w:font="Wingdings 2" w:char="0052"/>
            </w:r>
            <w:r>
              <w:rPr>
                <w:rFonts w:hint="eastAsia"/>
              </w:rPr>
              <w:t>环保设备故障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楷体" w:hAnsi="楷体" w:eastAsia="楷体" w:cs="楷体"/>
                <w:b w:val="0"/>
                <w:bCs w:val="0"/>
                <w:spacing w:val="10"/>
                <w:kern w:val="2"/>
                <w:sz w:val="21"/>
                <w:szCs w:val="21"/>
                <w:lang w:val="en-US" w:eastAsia="zh-CN" w:bidi="ar-SA"/>
              </w:rPr>
              <w:t>2022年4月25日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见不符合报告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ascii="楷体" w:hAnsi="楷体" w:eastAsia="楷体" w:cs="楷体"/>
                <w:sz w:val="21"/>
                <w:szCs w:val="21"/>
                <w:lang w:val="en-US" w:eastAsia="zh-CN"/>
              </w:rPr>
              <w:t>德禹（测）字 第202201009</w:t>
            </w:r>
            <w:r>
              <w:rPr>
                <w:rFonts w:hint="eastAsia"/>
              </w:rPr>
              <w:t>。</w:t>
            </w:r>
          </w:p>
          <w:p>
            <w:pPr>
              <w:shd w:val="clear" w:color="auto" w:fill="EBF1DE" w:themeFill="accent3" w:themeFillTint="32"/>
            </w:pPr>
            <w:r>
              <w:rPr>
                <w:rFonts w:hint="eastAsia"/>
              </w:rPr>
              <w:t>《建筑消防检测报告》编号：</w:t>
            </w:r>
            <w:r>
              <w:rPr>
                <w:rFonts w:hint="eastAsia"/>
                <w:lang w:val="en-US" w:eastAsia="zh-CN"/>
              </w:rPr>
              <w:t>尚未完成</w:t>
            </w:r>
            <w:r>
              <w:rPr>
                <w:rFonts w:hint="eastAsia"/>
              </w:rPr>
              <w:t>。</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val="en-US" w:eastAsia="zh-CN"/>
              </w:rPr>
              <w:t>消防验收尚未完成。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7-10</w:t>
            </w:r>
            <w:r>
              <w:rPr>
                <w:rFonts w:hint="eastAsia"/>
              </w:rPr>
              <w:t>日实施了环境管理体系内部审核，对环境管理体系的符合性和有效性进行了审核。内审发现的</w:t>
            </w:r>
            <w:r>
              <w:rPr>
                <w:rFonts w:hint="eastAsia"/>
                <w:lang w:val="en-US" w:eastAsia="zh-CN"/>
              </w:rPr>
              <w:t>6</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1（合并）</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1（合并）</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1（合并）</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w:t>
      </w:r>
      <w:r>
        <w:rPr>
          <w:rFonts w:hint="eastAsia" w:eastAsia="微软雅黑"/>
          <w:b/>
          <w:bCs/>
          <w:sz w:val="20"/>
          <w:szCs w:val="20"/>
          <w:lang w:val="en-US" w:eastAsia="zh-CN"/>
        </w:rPr>
        <w:t>GB/T</w:t>
      </w:r>
      <w:r>
        <w:rPr>
          <w:rFonts w:eastAsia="微软雅黑"/>
          <w:b/>
          <w:bCs/>
          <w:sz w:val="20"/>
          <w:szCs w:val="20"/>
        </w:rPr>
        <w:t xml:space="preserve"> 45001</w:t>
      </w:r>
      <w:r>
        <w:rPr>
          <w:rFonts w:hint="eastAsia" w:eastAsia="微软雅黑"/>
          <w:b/>
          <w:bCs/>
          <w:sz w:val="20"/>
          <w:szCs w:val="20"/>
          <w:lang w:val="en-US" w:eastAsia="zh-CN"/>
        </w:rPr>
        <w:t>-</w:t>
      </w:r>
      <w:r>
        <w:rPr>
          <w:rFonts w:eastAsia="微软雅黑"/>
          <w:b/>
          <w:bCs/>
          <w:sz w:val="20"/>
          <w:szCs w:val="20"/>
        </w:rPr>
        <w:t>20</w:t>
      </w:r>
      <w:r>
        <w:rPr>
          <w:rFonts w:hint="eastAsia" w:eastAsia="微软雅黑"/>
          <w:b/>
          <w:bCs/>
          <w:sz w:val="20"/>
          <w:szCs w:val="20"/>
          <w:lang w:val="en-US" w:eastAsia="zh-CN"/>
        </w:rPr>
        <w:t>20</w:t>
      </w:r>
      <w:r>
        <w:rPr>
          <w:rFonts w:eastAsia="微软雅黑"/>
          <w:b/>
          <w:bCs/>
          <w:sz w:val="20"/>
          <w:szCs w:val="20"/>
        </w:rPr>
        <w:t xml:space="preserve">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A3"/>
                  </w:r>
                  <w:r>
                    <w:rPr>
                      <w:rFonts w:hint="eastAsia"/>
                    </w:rPr>
                    <w:t>竞争□市场□文化</w:t>
                  </w:r>
                  <w:r>
                    <w:rPr>
                      <w:rFonts w:hint="eastAsia"/>
                    </w:rPr>
                    <w:sym w:font="Wingdings 2" w:char="0052"/>
                  </w:r>
                  <w:r>
                    <w:rPr>
                      <w:rFonts w:hint="eastAsia"/>
                    </w:rPr>
                    <w:t>社会□经济环境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sym w:font="Wingdings 2" w:char="0052"/>
            </w:r>
            <w:r>
              <w:rPr>
                <w:rFonts w:hint="eastAsia"/>
              </w:rPr>
              <w:t>安评三同时</w:t>
            </w:r>
            <w:r>
              <w:rPr>
                <w:rFonts w:hint="eastAsia"/>
              </w:rPr>
              <w:sym w:font="Wingdings 2" w:char="0052"/>
            </w:r>
            <w:r>
              <w:rPr>
                <w:rFonts w:hint="eastAsia"/>
              </w:rPr>
              <w:t>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w:t>
            </w:r>
            <w:r>
              <w:rPr>
                <w:rFonts w:hint="eastAsia"/>
              </w:rPr>
              <w:sym w:font="Wingdings 2" w:char="0052"/>
            </w:r>
            <w:r>
              <w:rPr>
                <w:rFonts w:hint="eastAsia"/>
              </w:rPr>
              <w:t>消防检测</w:t>
            </w:r>
            <w:r>
              <w:rPr>
                <w:rFonts w:hint="eastAsia"/>
              </w:rPr>
              <w:sym w:font="Wingdings 2" w:char="0052"/>
            </w:r>
            <w:r>
              <w:rPr>
                <w:rFonts w:hint="eastAsia"/>
              </w:rPr>
              <w:t>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ascii="Times New Roman" w:hAnsi="Times New Roman" w:eastAsia="宋体" w:cs="Times New Roman"/>
                <w:color w:val="000000"/>
                <w:kern w:val="2"/>
                <w:sz w:val="21"/>
                <w:szCs w:val="18"/>
                <w:lang w:val="en-US" w:eastAsia="zh-CN" w:bidi="ar-SA"/>
              </w:rPr>
              <w:t>以人为本、关爱生命、遵章守纪、保障安全。</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安全部</w:t>
            </w:r>
          </w:p>
          <w:p>
            <w:pPr>
              <w:rPr>
                <w:rFonts w:hint="eastAsia" w:eastAsia="宋体"/>
                <w:lang w:val="en-US" w:eastAsia="zh-CN"/>
              </w:rPr>
            </w:pPr>
            <w:r>
              <w:rPr>
                <w:rFonts w:hint="eastAsia"/>
              </w:rPr>
              <w:t>安全的主管部门是——</w:t>
            </w:r>
            <w:r>
              <w:rPr>
                <w:rFonts w:hint="eastAsia"/>
                <w:lang w:val="en-US" w:eastAsia="zh-CN"/>
              </w:rPr>
              <w:t>安全部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冯建强  李欣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法律法规风险</w:t>
                  </w:r>
                </w:p>
              </w:tc>
              <w:tc>
                <w:tcPr>
                  <w:tcW w:w="3965" w:type="dxa"/>
                </w:tcPr>
                <w:p>
                  <w:pPr>
                    <w:rPr>
                      <w:rFonts w:hint="default" w:eastAsia="宋体"/>
                      <w:lang w:val="en-US" w:eastAsia="zh-CN"/>
                    </w:rPr>
                  </w:pPr>
                  <w:r>
                    <w:rPr>
                      <w:rFonts w:hint="eastAsia"/>
                      <w:lang w:val="en-US" w:eastAsia="zh-CN"/>
                    </w:rPr>
                    <w:t>及时识别相关法律法规要求</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员工职业健康安全意识</w:t>
                  </w:r>
                </w:p>
              </w:tc>
              <w:tc>
                <w:tcPr>
                  <w:tcW w:w="3965" w:type="dxa"/>
                </w:tcPr>
                <w:p>
                  <w:pPr>
                    <w:rPr>
                      <w:rFonts w:hint="default" w:eastAsia="宋体"/>
                      <w:lang w:val="en-US" w:eastAsia="zh-CN"/>
                    </w:rPr>
                  </w:pPr>
                  <w:r>
                    <w:rPr>
                      <w:rFonts w:hint="eastAsia"/>
                      <w:lang w:val="en-US" w:eastAsia="zh-CN"/>
                    </w:rPr>
                    <w:t>培训提高员工意识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相关方的风险</w:t>
                  </w:r>
                </w:p>
              </w:tc>
              <w:tc>
                <w:tcPr>
                  <w:tcW w:w="3965" w:type="dxa"/>
                </w:tcPr>
                <w:p>
                  <w:pPr>
                    <w:rPr>
                      <w:rFonts w:hint="default" w:eastAsia="宋体"/>
                      <w:lang w:val="en-US" w:eastAsia="zh-CN"/>
                    </w:rPr>
                  </w:pPr>
                  <w:r>
                    <w:rPr>
                      <w:rFonts w:hint="eastAsia"/>
                      <w:lang w:val="en-US" w:eastAsia="zh-CN"/>
                    </w:rPr>
                    <w:t>几首沟通</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w:t>
            </w:r>
            <w:r>
              <w:rPr>
                <w:rFonts w:hint="eastAsia"/>
              </w:rPr>
              <w:sym w:font="Wingdings 2" w:char="0052"/>
            </w:r>
            <w:r>
              <w:rPr>
                <w:rFonts w:hint="eastAsia"/>
              </w:rPr>
              <w:t>化学伤害</w:t>
            </w:r>
            <w:r>
              <w:rPr>
                <w:rFonts w:hint="eastAsia"/>
              </w:rPr>
              <w:sym w:font="Wingdings 2" w:char="0052"/>
            </w:r>
            <w:r>
              <w:rPr>
                <w:rFonts w:hint="eastAsia"/>
              </w:rPr>
              <w:t>噪声</w:t>
            </w:r>
            <w:r>
              <w:rPr>
                <w:rFonts w:hint="eastAsia"/>
              </w:rPr>
              <w:sym w:font="Wingdings 2" w:char="0052"/>
            </w:r>
            <w:r>
              <w:rPr>
                <w:rFonts w:hint="eastAsia"/>
              </w:rPr>
              <w:t>粉尘</w:t>
            </w:r>
            <w:r>
              <w:rPr>
                <w:rFonts w:hint="eastAsia"/>
              </w:rPr>
              <w:sym w:font="Wingdings 2" w:char="0052"/>
            </w:r>
            <w:r>
              <w:rPr>
                <w:rFonts w:hint="eastAsia"/>
              </w:rPr>
              <w:t>危险作业</w:t>
            </w:r>
            <w:r>
              <w:rPr>
                <w:rFonts w:hint="eastAsia"/>
              </w:rPr>
              <w:sym w:font="Wingdings 2" w:char="0052"/>
            </w:r>
            <w:r>
              <w:rPr>
                <w:rFonts w:hint="eastAsia"/>
              </w:rPr>
              <w:t>高低温□危化品泄露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eastAsia" w:eastAsia="宋体"/>
                <w:lang w:val="en-US" w:eastAsia="zh-CN"/>
              </w:rPr>
            </w:pPr>
            <w:r>
              <w:rPr>
                <w:rFonts w:hint="eastAsia"/>
              </w:rPr>
              <w:t>□安全生产许可证编号：</w:t>
            </w:r>
            <w:r>
              <w:rPr>
                <w:rFonts w:hint="eastAsia"/>
                <w:lang w:val="en-US" w:eastAsia="zh-CN"/>
              </w:rPr>
              <w:t>不适用</w:t>
            </w:r>
          </w:p>
          <w:p>
            <w:pPr>
              <w:rPr>
                <w:rFonts w:hint="default" w:eastAsia="宋体"/>
                <w:lang w:val="en-US" w:eastAsia="zh-CN"/>
              </w:rPr>
            </w:pPr>
            <w:r>
              <w:rPr>
                <w:rFonts w:hint="eastAsia"/>
              </w:rPr>
              <w:sym w:font="Wingdings 2" w:char="0052"/>
            </w:r>
            <w:r>
              <w:rPr>
                <w:rFonts w:hint="eastAsia"/>
              </w:rPr>
              <w:t>安全预评估报告日期：</w:t>
            </w:r>
            <w:r>
              <w:rPr>
                <w:rFonts w:hint="eastAsia"/>
                <w:lang w:val="en-US" w:eastAsia="zh-CN"/>
              </w:rPr>
              <w:t>炼钢系统安全预评价/炼铁系统安全预评价，见报告。</w:t>
            </w:r>
          </w:p>
          <w:p>
            <w:r>
              <w:rPr>
                <w:rFonts w:hint="eastAsia"/>
              </w:rPr>
              <w:t>□安全现状评估报告表日期：</w:t>
            </w:r>
          </w:p>
          <w:p>
            <w:pPr>
              <w:rPr>
                <w:rFonts w:hint="default"/>
                <w:lang w:val="en-US"/>
              </w:rPr>
            </w:pPr>
            <w:r>
              <w:rPr>
                <w:rFonts w:hint="eastAsia"/>
              </w:rPr>
              <w:sym w:font="Wingdings 2" w:char="0052"/>
            </w:r>
            <w:r>
              <w:rPr>
                <w:rFonts w:hint="eastAsia"/>
              </w:rPr>
              <w:t>职业病体检报告书日期：</w:t>
            </w:r>
            <w:r>
              <w:rPr>
                <w:rFonts w:hint="eastAsia" w:ascii="Times New Roman" w:hAnsi="Times New Roman" w:eastAsia="宋体" w:cs="Times New Roman"/>
              </w:rPr>
              <w:t>唐海港医职健检字（20</w:t>
            </w:r>
            <w:r>
              <w:rPr>
                <w:rFonts w:hint="eastAsia" w:ascii="Times New Roman" w:hAnsi="Times New Roman" w:eastAsia="宋体" w:cs="Times New Roman"/>
                <w:lang w:val="en-US" w:eastAsia="zh-CN"/>
              </w:rPr>
              <w:t>21</w:t>
            </w:r>
            <w:r>
              <w:rPr>
                <w:rFonts w:hint="eastAsia" w:ascii="Times New Roman" w:hAnsi="Times New Roman" w:eastAsia="宋体" w:cs="Times New Roman"/>
              </w:rPr>
              <w:t>）第</w:t>
            </w:r>
            <w:r>
              <w:rPr>
                <w:rFonts w:hint="eastAsia" w:ascii="Times New Roman" w:hAnsi="Times New Roman" w:eastAsia="宋体" w:cs="Times New Roman"/>
                <w:lang w:val="en-US" w:eastAsia="zh-CN"/>
              </w:rPr>
              <w:t>58</w:t>
            </w:r>
            <w:r>
              <w:rPr>
                <w:rFonts w:hint="eastAsia" w:ascii="Times New Roman" w:hAnsi="Times New Roman" w:eastAsia="宋体" w:cs="Times New Roman"/>
              </w:rPr>
              <w:t>号</w:t>
            </w:r>
          </w:p>
          <w:p>
            <w:pPr>
              <w:rPr>
                <w:rFonts w:hint="default" w:eastAsia="宋体"/>
                <w:lang w:val="en-US" w:eastAsia="zh-CN"/>
              </w:rPr>
            </w:pPr>
            <w:r>
              <w:rPr>
                <w:rFonts w:hint="eastAsia"/>
              </w:rPr>
              <w:t>□消防验收/备案证明日期：</w:t>
            </w:r>
            <w:r>
              <w:rPr>
                <w:rFonts w:hint="eastAsia"/>
                <w:lang w:val="en-US" w:eastAsia="zh-CN"/>
              </w:rPr>
              <w:t>尚未获取到。</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w:t>
            </w:r>
            <w:r>
              <w:rPr>
                <w:rFonts w:hint="eastAsia"/>
              </w:rPr>
              <w:sym w:font="Wingdings 2" w:char="0052"/>
            </w:r>
            <w:r>
              <w:rPr>
                <w:rFonts w:hint="eastAsia"/>
              </w:rPr>
              <w:t>挂牌上锁管理</w:t>
            </w:r>
          </w:p>
          <w:p>
            <w:pPr>
              <w:rPr>
                <w:highlight w:val="cyan"/>
              </w:rPr>
            </w:pP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0"/>
              <w:gridCol w:w="19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shd w:val="clear" w:color="auto" w:fill="auto"/>
                </w:tcPr>
                <w:p>
                  <w:pPr>
                    <w:rPr>
                      <w:rFonts w:ascii="宋体" w:hAnsi="宋体"/>
                    </w:rPr>
                  </w:pPr>
                  <w:r>
                    <w:rPr>
                      <w:rFonts w:hint="eastAsia"/>
                    </w:rPr>
                    <w:t>职业健康安全</w:t>
                  </w:r>
                  <w:r>
                    <w:rPr>
                      <w:rFonts w:hint="eastAsia" w:ascii="宋体" w:hAnsi="宋体"/>
                    </w:rPr>
                    <w:t>目标</w:t>
                  </w:r>
                </w:p>
              </w:tc>
              <w:tc>
                <w:tcPr>
                  <w:tcW w:w="1927"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shd w:val="clear" w:color="auto" w:fill="auto"/>
                </w:tcPr>
                <w:p>
                  <w:pPr>
                    <w:widowControl/>
                    <w:numPr>
                      <w:ilvl w:val="0"/>
                      <w:numId w:val="4"/>
                    </w:numPr>
                    <w:jc w:val="left"/>
                  </w:pPr>
                  <w:r>
                    <w:rPr>
                      <w:rFonts w:hint="eastAsia" w:ascii="Times New Roman" w:hAnsi="Times New Roman" w:eastAsia="宋体" w:cs="Times New Roman"/>
                      <w:color w:val="000000"/>
                      <w:kern w:val="2"/>
                      <w:sz w:val="21"/>
                      <w:szCs w:val="18"/>
                      <w:lang w:val="en-US" w:eastAsia="zh-CN" w:bidi="ar-SA"/>
                    </w:rPr>
                    <w:t xml:space="preserve">死亡、重伤 、重大设备事故、重大生产事故、重大火灾发生率为0%。         </w:t>
                  </w:r>
                </w:p>
              </w:tc>
              <w:tc>
                <w:tcPr>
                  <w:tcW w:w="1927" w:type="dxa"/>
                  <w:shd w:val="clear" w:color="auto" w:fill="auto"/>
                  <w:vAlign w:val="center"/>
                </w:tcPr>
                <w:p>
                  <w:pPr>
                    <w:rPr>
                      <w:rFonts w:hint="eastAsia" w:eastAsia="宋体"/>
                      <w:lang w:val="en-US" w:eastAsia="zh-CN"/>
                    </w:rPr>
                  </w:pPr>
                  <w:r>
                    <w:rPr>
                      <w:rFonts w:hint="eastAsia"/>
                      <w:lang w:val="en-US" w:eastAsia="zh-CN"/>
                    </w:rPr>
                    <w:t>加强安全管理</w:t>
                  </w:r>
                </w:p>
              </w:tc>
              <w:tc>
                <w:tcPr>
                  <w:tcW w:w="1350" w:type="dxa"/>
                  <w:shd w:val="clear" w:color="auto" w:fill="auto"/>
                  <w:vAlign w:val="center"/>
                </w:tcPr>
                <w:p>
                  <w:pPr>
                    <w:rPr>
                      <w:rFonts w:hint="default" w:eastAsia="宋体"/>
                      <w:lang w:val="en-US" w:eastAsia="zh-CN"/>
                    </w:rPr>
                  </w:pPr>
                  <w:r>
                    <w:rPr>
                      <w:rFonts w:hint="eastAsia"/>
                      <w:lang w:val="en-US" w:eastAsia="zh-CN"/>
                    </w:rPr>
                    <w:t>安全部及各分厂</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shd w:val="clear" w:color="auto" w:fill="auto"/>
                </w:tcPr>
                <w:p>
                  <w:r>
                    <w:rPr>
                      <w:rFonts w:hint="eastAsia" w:ascii="Times New Roman" w:hAnsi="Times New Roman" w:eastAsia="宋体" w:cs="Times New Roman"/>
                      <w:color w:val="000000"/>
                      <w:kern w:val="2"/>
                      <w:sz w:val="21"/>
                      <w:szCs w:val="18"/>
                      <w:lang w:val="en-US" w:eastAsia="zh-CN" w:bidi="ar-SA"/>
                    </w:rPr>
                    <w:t>2.千人负伤率≤5‰</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 xml:space="preserve">职业性疾病发生率为0%。 2、职业健康体检率100% </w:t>
                  </w:r>
                </w:p>
              </w:tc>
              <w:tc>
                <w:tcPr>
                  <w:tcW w:w="1927" w:type="dxa"/>
                  <w:shd w:val="clear" w:color="auto" w:fill="auto"/>
                  <w:vAlign w:val="center"/>
                </w:tcPr>
                <w:p>
                  <w:pPr>
                    <w:rPr>
                      <w:lang w:val="en-GB"/>
                    </w:rPr>
                  </w:pPr>
                  <w:r>
                    <w:rPr>
                      <w:rFonts w:hint="eastAsia"/>
                      <w:lang w:val="en-US" w:eastAsia="zh-CN"/>
                    </w:rPr>
                    <w:t>加强安全管理</w:t>
                  </w:r>
                </w:p>
              </w:tc>
              <w:tc>
                <w:tcPr>
                  <w:tcW w:w="1350" w:type="dxa"/>
                  <w:shd w:val="clear" w:color="auto" w:fill="auto"/>
                  <w:vAlign w:val="center"/>
                </w:tcPr>
                <w:p>
                  <w:pPr>
                    <w:rPr>
                      <w:lang w:val="en-GB"/>
                    </w:rPr>
                  </w:pPr>
                  <w:r>
                    <w:rPr>
                      <w:rFonts w:hint="eastAsia"/>
                      <w:lang w:val="en-US" w:eastAsia="zh-CN"/>
                    </w:rPr>
                    <w:t>安全部及各分厂</w:t>
                  </w:r>
                </w:p>
              </w:tc>
              <w:tc>
                <w:tcPr>
                  <w:tcW w:w="1774" w:type="dxa"/>
                  <w:shd w:val="clear" w:color="auto" w:fill="auto"/>
                  <w:vAlign w:val="center"/>
                </w:tcPr>
                <w:p>
                  <w:pPr>
                    <w:jc w:val="center"/>
                    <w:rPr>
                      <w:rFonts w:ascii="宋体" w:hAnsi="宋体"/>
                      <w:lang w:val="en-GB"/>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shd w:val="clear" w:color="auto" w:fill="auto"/>
                </w:tcPr>
                <w:p>
                  <w:pPr>
                    <w:widowControl/>
                    <w:numPr>
                      <w:ilvl w:val="0"/>
                      <w:numId w:val="4"/>
                    </w:numPr>
                    <w:jc w:val="left"/>
                  </w:pPr>
                  <w:r>
                    <w:rPr>
                      <w:rFonts w:hint="eastAsia" w:ascii="Times New Roman" w:hAnsi="Times New Roman" w:eastAsia="宋体" w:cs="Times New Roman"/>
                      <w:color w:val="000000"/>
                      <w:kern w:val="2"/>
                      <w:sz w:val="21"/>
                      <w:szCs w:val="18"/>
                      <w:lang w:val="en-US" w:eastAsia="zh-CN" w:bidi="ar-SA"/>
                    </w:rPr>
                    <w:t>岗位职业危害因素监测达标率98%以上。</w:t>
                  </w:r>
                </w:p>
              </w:tc>
              <w:tc>
                <w:tcPr>
                  <w:tcW w:w="1927" w:type="dxa"/>
                  <w:shd w:val="clear" w:color="auto" w:fill="auto"/>
                  <w:vAlign w:val="center"/>
                </w:tcPr>
                <w:p>
                  <w:pPr>
                    <w:rPr>
                      <w:rFonts w:ascii="宋体" w:hAnsi="宋体"/>
                    </w:rPr>
                  </w:pPr>
                  <w:r>
                    <w:rPr>
                      <w:rFonts w:hint="eastAsia"/>
                      <w:lang w:val="en-US" w:eastAsia="zh-CN"/>
                    </w:rPr>
                    <w:t>加强安全管理</w:t>
                  </w:r>
                </w:p>
              </w:tc>
              <w:tc>
                <w:tcPr>
                  <w:tcW w:w="1350" w:type="dxa"/>
                  <w:shd w:val="clear" w:color="auto" w:fill="auto"/>
                  <w:vAlign w:val="center"/>
                </w:tcPr>
                <w:p>
                  <w:pPr>
                    <w:rPr>
                      <w:rFonts w:ascii="宋体" w:hAnsi="宋体"/>
                    </w:rPr>
                  </w:pPr>
                  <w:r>
                    <w:rPr>
                      <w:rFonts w:hint="eastAsia"/>
                      <w:lang w:val="en-US" w:eastAsia="zh-CN"/>
                    </w:rPr>
                    <w:t>安全部及各分厂</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shd w:val="clear" w:color="auto" w:fill="auto"/>
                </w:tcPr>
                <w:p>
                  <w:pPr>
                    <w:widowControl/>
                    <w:numPr>
                      <w:ilvl w:val="0"/>
                      <w:numId w:val="4"/>
                    </w:numPr>
                    <w:ind w:left="0" w:leftChars="0" w:firstLine="0" w:firstLineChars="0"/>
                    <w:jc w:val="left"/>
                  </w:pPr>
                  <w:r>
                    <w:rPr>
                      <w:rFonts w:hint="eastAsia" w:ascii="Times New Roman" w:hAnsi="Times New Roman" w:eastAsia="宋体" w:cs="Times New Roman"/>
                      <w:color w:val="000000"/>
                      <w:kern w:val="2"/>
                      <w:sz w:val="21"/>
                      <w:szCs w:val="18"/>
                      <w:lang w:val="en-US" w:eastAsia="zh-CN" w:bidi="ar-SA"/>
                    </w:rPr>
                    <w:t>特种作业人员持证上岗率100%</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从业人员安全培训率达100%</w:t>
                  </w:r>
                  <w:r>
                    <w:rPr>
                      <w:rFonts w:hint="eastAsia" w:cs="Times New Roman"/>
                      <w:color w:val="000000"/>
                      <w:kern w:val="2"/>
                      <w:sz w:val="21"/>
                      <w:szCs w:val="18"/>
                      <w:lang w:val="en-US" w:eastAsia="zh-CN" w:bidi="ar-SA"/>
                    </w:rPr>
                    <w:t>；</w:t>
                  </w:r>
                  <w:r>
                    <w:rPr>
                      <w:rFonts w:hint="eastAsia" w:ascii="Times New Roman" w:hAnsi="Times New Roman" w:eastAsia="宋体" w:cs="Times New Roman"/>
                      <w:color w:val="000000"/>
                      <w:kern w:val="2"/>
                      <w:sz w:val="21"/>
                      <w:szCs w:val="18"/>
                      <w:lang w:val="en-US" w:eastAsia="zh-CN" w:bidi="ar-SA"/>
                    </w:rPr>
                    <w:t>新员工入厂三级教育合格率100%</w:t>
                  </w:r>
                </w:p>
              </w:tc>
              <w:tc>
                <w:tcPr>
                  <w:tcW w:w="1927" w:type="dxa"/>
                  <w:shd w:val="clear" w:color="auto" w:fill="auto"/>
                  <w:vAlign w:val="center"/>
                </w:tcPr>
                <w:p>
                  <w:pPr>
                    <w:rPr>
                      <w:rFonts w:ascii="宋体" w:hAnsi="宋体"/>
                    </w:rPr>
                  </w:pPr>
                  <w:r>
                    <w:rPr>
                      <w:rFonts w:hint="eastAsia"/>
                      <w:lang w:val="en-US" w:eastAsia="zh-CN"/>
                    </w:rPr>
                    <w:t>加强安全管理</w:t>
                  </w:r>
                </w:p>
              </w:tc>
              <w:tc>
                <w:tcPr>
                  <w:tcW w:w="1350" w:type="dxa"/>
                  <w:shd w:val="clear" w:color="auto" w:fill="auto"/>
                  <w:vAlign w:val="center"/>
                </w:tcPr>
                <w:p>
                  <w:pPr>
                    <w:rPr>
                      <w:rFonts w:ascii="宋体" w:hAnsi="宋体"/>
                    </w:rPr>
                  </w:pPr>
                  <w:r>
                    <w:rPr>
                      <w:rFonts w:hint="eastAsia"/>
                      <w:lang w:val="en-US" w:eastAsia="zh-CN"/>
                    </w:rPr>
                    <w:t>安全部及各分厂</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0" w:type="dxa"/>
                  <w:shd w:val="clear" w:color="auto" w:fill="auto"/>
                </w:tcPr>
                <w:p>
                  <w:pPr>
                    <w:widowControl/>
                    <w:numPr>
                      <w:ilvl w:val="0"/>
                      <w:numId w:val="4"/>
                    </w:numPr>
                    <w:ind w:left="0" w:leftChars="0" w:firstLine="0" w:firstLineChars="0"/>
                    <w:jc w:val="left"/>
                  </w:pPr>
                  <w:r>
                    <w:rPr>
                      <w:rFonts w:hint="eastAsia" w:ascii="Times New Roman" w:hAnsi="Times New Roman" w:eastAsia="宋体" w:cs="Times New Roman"/>
                      <w:color w:val="000000"/>
                      <w:kern w:val="2"/>
                      <w:sz w:val="21"/>
                      <w:szCs w:val="18"/>
                      <w:lang w:val="en-US" w:eastAsia="zh-CN" w:bidi="ar-SA"/>
                    </w:rPr>
                    <w:t>隐患整改率98%以上。</w:t>
                  </w:r>
                </w:p>
              </w:tc>
              <w:tc>
                <w:tcPr>
                  <w:tcW w:w="1927" w:type="dxa"/>
                  <w:shd w:val="clear" w:color="auto" w:fill="auto"/>
                  <w:vAlign w:val="center"/>
                </w:tcPr>
                <w:p>
                  <w:pPr>
                    <w:rPr>
                      <w:rFonts w:ascii="宋体" w:hAnsi="宋体"/>
                    </w:rPr>
                  </w:pPr>
                  <w:r>
                    <w:rPr>
                      <w:rFonts w:hint="eastAsia"/>
                      <w:lang w:val="en-US" w:eastAsia="zh-CN"/>
                    </w:rPr>
                    <w:t>加强安全管理</w:t>
                  </w:r>
                </w:p>
              </w:tc>
              <w:tc>
                <w:tcPr>
                  <w:tcW w:w="1350" w:type="dxa"/>
                  <w:shd w:val="clear" w:color="auto" w:fill="auto"/>
                  <w:vAlign w:val="center"/>
                </w:tcPr>
                <w:p>
                  <w:pPr>
                    <w:rPr>
                      <w:rFonts w:ascii="宋体" w:hAnsi="宋体"/>
                    </w:rPr>
                  </w:pPr>
                  <w:r>
                    <w:rPr>
                      <w:rFonts w:hint="eastAsia"/>
                      <w:lang w:val="en-US" w:eastAsia="zh-CN"/>
                    </w:rPr>
                    <w:t>安全部及各分厂</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shd w:val="clear" w:color="auto" w:fill="auto"/>
                </w:tcPr>
                <w:p>
                  <w:pPr>
                    <w:widowControl/>
                    <w:numPr>
                      <w:ilvl w:val="0"/>
                      <w:numId w:val="4"/>
                    </w:numPr>
                    <w:ind w:left="0" w:leftChars="0" w:firstLine="0" w:firstLineChars="0"/>
                    <w:jc w:val="left"/>
                  </w:pPr>
                  <w:r>
                    <w:rPr>
                      <w:rFonts w:hint="eastAsia" w:ascii="Times New Roman" w:hAnsi="Times New Roman" w:eastAsia="宋体" w:cs="Times New Roman"/>
                      <w:color w:val="000000"/>
                      <w:kern w:val="2"/>
                      <w:sz w:val="21"/>
                      <w:szCs w:val="18"/>
                      <w:lang w:val="en-US" w:eastAsia="zh-CN" w:bidi="ar-SA"/>
                    </w:rPr>
                    <w:t>特种设备及安全附件定期检验率100%；特种设备操作人员持证率100%</w:t>
                  </w:r>
                </w:p>
              </w:tc>
              <w:tc>
                <w:tcPr>
                  <w:tcW w:w="1927" w:type="dxa"/>
                  <w:shd w:val="clear" w:color="auto" w:fill="auto"/>
                  <w:vAlign w:val="center"/>
                </w:tcPr>
                <w:p>
                  <w:pPr>
                    <w:rPr>
                      <w:rFonts w:ascii="宋体" w:hAnsi="宋体"/>
                    </w:rPr>
                  </w:pPr>
                  <w:r>
                    <w:rPr>
                      <w:rFonts w:hint="eastAsia"/>
                      <w:lang w:val="en-US" w:eastAsia="zh-CN"/>
                    </w:rPr>
                    <w:t>加强安全管理</w:t>
                  </w:r>
                </w:p>
              </w:tc>
              <w:tc>
                <w:tcPr>
                  <w:tcW w:w="1350" w:type="dxa"/>
                  <w:shd w:val="clear" w:color="auto" w:fill="auto"/>
                  <w:vAlign w:val="center"/>
                </w:tcPr>
                <w:p>
                  <w:pPr>
                    <w:rPr>
                      <w:rFonts w:ascii="宋体" w:hAnsi="宋体"/>
                    </w:rPr>
                  </w:pPr>
                  <w:r>
                    <w:rPr>
                      <w:rFonts w:hint="eastAsia"/>
                      <w:lang w:val="en-US" w:eastAsia="zh-CN"/>
                    </w:rPr>
                    <w:t>安全部及各分厂</w:t>
                  </w:r>
                </w:p>
              </w:tc>
              <w:tc>
                <w:tcPr>
                  <w:tcW w:w="1774" w:type="dxa"/>
                  <w:shd w:val="clear" w:color="auto" w:fill="auto"/>
                  <w:vAlign w:val="center"/>
                </w:tcPr>
                <w:p>
                  <w:pPr>
                    <w:jc w:val="center"/>
                    <w:rPr>
                      <w:rFonts w:ascii="宋体" w:hAnsi="宋体"/>
                    </w:rPr>
                  </w:pPr>
                  <w:r>
                    <w:rPr>
                      <w:rFonts w:hint="eastAsia" w:ascii="宋体" w:hAnsi="宋体"/>
                      <w:lang w:val="en-US" w:eastAsia="zh-CN"/>
                    </w:rPr>
                    <w:t>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lang w:val="en-US" w:eastAsia="zh-CN"/>
              </w:rPr>
              <w:t>占地</w:t>
            </w:r>
            <w:r>
              <w:rPr>
                <w:rFonts w:hint="eastAsia" w:ascii="Times New Roman" w:hAnsi="Times New Roman" w:eastAsia="宋体" w:cs="Times New Roman"/>
              </w:rPr>
              <w:t>面积</w:t>
            </w:r>
            <w:r>
              <w:rPr>
                <w:rFonts w:hint="eastAsia" w:ascii="Times New Roman" w:hAnsi="Times New Roman" w:eastAsia="宋体" w:cs="Times New Roman"/>
                <w:lang w:val="en-US" w:eastAsia="zh-CN"/>
              </w:rPr>
              <w:t>1446000</w:t>
            </w:r>
            <w:r>
              <w:rPr>
                <w:rFonts w:hint="eastAsia" w:ascii="Times New Roman" w:hAnsi="Times New Roman" w:eastAsia="宋体" w:cs="Times New Roman"/>
              </w:rPr>
              <w:t>平方米；生产</w:t>
            </w:r>
            <w:r>
              <w:rPr>
                <w:rFonts w:hint="eastAsia" w:ascii="Times New Roman" w:hAnsi="Times New Roman" w:eastAsia="宋体" w:cs="Times New Roman"/>
                <w:lang w:val="en-US" w:eastAsia="zh-CN"/>
              </w:rPr>
              <w:t>厂6</w:t>
            </w:r>
            <w:r>
              <w:rPr>
                <w:rFonts w:hint="eastAsia" w:ascii="Times New Roman" w:hAnsi="Times New Roman" w:eastAsia="宋体" w:cs="Times New Roman"/>
              </w:rPr>
              <w:t>个</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其中：原料厂为原辅材料的储存和管理、炼钢厂负责产品的储存和管理</w:t>
            </w:r>
            <w:r>
              <w:rPr>
                <w:rFonts w:hint="eastAsia" w:ascii="Times New Roman" w:hAnsi="Times New Roman" w:eastAsia="宋体" w:cs="Times New Roman"/>
                <w:lang w:eastAsia="zh-CN"/>
              </w:rPr>
              <w:t>）</w:t>
            </w:r>
            <w:r>
              <w:rPr>
                <w:rFonts w:hint="eastAsia" w:ascii="Times New Roman" w:hAnsi="Times New Roman" w:eastAsia="宋体" w:cs="Times New Roman"/>
              </w:rPr>
              <w:t>；实验室</w:t>
            </w:r>
            <w:r>
              <w:rPr>
                <w:rFonts w:hint="eastAsia" w:ascii="Times New Roman" w:hAnsi="Times New Roman" w:eastAsia="宋体" w:cs="Times New Roman"/>
                <w:lang w:val="en-US" w:eastAsia="zh-CN"/>
              </w:rPr>
              <w:t>1</w:t>
            </w:r>
            <w:r>
              <w:rPr>
                <w:rFonts w:hint="eastAsia" w:ascii="Times New Roman" w:hAnsi="Times New Roman" w:eastAsia="宋体" w:cs="Times New Roman"/>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w:t>
            </w:r>
            <w:r>
              <w:rPr>
                <w:rFonts w:hint="eastAsia" w:ascii="Times New Roman" w:hAnsi="Times New Roman" w:eastAsia="宋体" w:cs="Times New Roman"/>
                <w:lang w:val="en-US" w:eastAsia="zh-CN"/>
              </w:rPr>
              <w:t>炼铁炉、炼钢炉、烧结炉、空压机、制氧设备、汽轮机、燃气锅炉</w:t>
            </w:r>
            <w:r>
              <w:rPr>
                <w:rFonts w:hint="eastAsia" w:ascii="Times New Roman" w:hAnsi="Times New Roman" w:eastAsia="宋体" w:cs="Times New Roman"/>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sym w:font="Wingdings 2" w:char="0052"/>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sym w:font="Wingdings 2" w:char="0052"/>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sym w:font="Wingdings 2" w:char="00A3"/>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sym w:font="Wingdings 2" w:char="0052"/>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sym w:font="Wingdings 2" w:char="0052"/>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sym w:font="Wingdings 2" w:char="0052"/>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lang w:val="en-US" w:eastAsia="zh-CN"/>
              </w:rPr>
              <w:t>暂无</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A3"/>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w:t>
                  </w:r>
                  <w:r>
                    <w:rPr>
                      <w:rFonts w:hint="eastAsia"/>
                    </w:rPr>
                    <w:sym w:font="Wingdings 2" w:char="0052"/>
                  </w:r>
                  <w:r>
                    <w:rPr>
                      <w:rFonts w:hint="eastAsia"/>
                    </w:rPr>
                    <w:t>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锅炉/电梯</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锅炉爆炸</w:t>
            </w:r>
            <w:r>
              <w:rPr>
                <w:rFonts w:hint="eastAsia" w:ascii="Wingdings" w:hAnsi="Wingdings"/>
                <w:lang w:eastAsia="zh-CN"/>
              </w:rPr>
              <w:sym w:font="Wingdings 2" w:char="0052"/>
            </w:r>
            <w:r>
              <w:rPr>
                <w:rFonts w:hint="eastAsia"/>
              </w:rPr>
              <w:t>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ascii="Times New Roman" w:hAnsi="Times New Roman" w:eastAsia="宋体" w:cs="Times New Roman"/>
              </w:rPr>
              <w:t>唐海港医职健检字（20</w:t>
            </w:r>
            <w:r>
              <w:rPr>
                <w:rFonts w:hint="eastAsia" w:ascii="Times New Roman" w:hAnsi="Times New Roman" w:eastAsia="宋体" w:cs="Times New Roman"/>
                <w:lang w:val="en-US" w:eastAsia="zh-CN"/>
              </w:rPr>
              <w:t>21</w:t>
            </w:r>
            <w:r>
              <w:rPr>
                <w:rFonts w:hint="eastAsia" w:ascii="Times New Roman" w:hAnsi="Times New Roman" w:eastAsia="宋体" w:cs="Times New Roman"/>
              </w:rPr>
              <w:t>）第</w:t>
            </w:r>
            <w:r>
              <w:rPr>
                <w:rFonts w:hint="eastAsia" w:ascii="Times New Roman" w:hAnsi="Times New Roman" w:eastAsia="宋体" w:cs="Times New Roman"/>
                <w:lang w:val="en-US" w:eastAsia="zh-CN"/>
              </w:rPr>
              <w:t>58</w:t>
            </w:r>
            <w:r>
              <w:rPr>
                <w:rFonts w:hint="eastAsia" w:ascii="Times New Roman" w:hAnsi="Times New Roman" w:eastAsia="宋体" w:cs="Times New Roman"/>
              </w:rPr>
              <w:t>号</w:t>
            </w:r>
            <w:r>
              <w:rPr>
                <w:rFonts w:hint="eastAsia"/>
              </w:rPr>
              <w:t>。</w:t>
            </w:r>
          </w:p>
          <w:p>
            <w:r>
              <w:rPr>
                <w:rFonts w:hint="eastAsia"/>
              </w:rPr>
              <w:t>《建筑消防检测报告》编号：</w:t>
            </w:r>
            <w:r>
              <w:rPr>
                <w:rFonts w:hint="eastAsia"/>
                <w:lang w:val="en-US" w:eastAsia="zh-CN"/>
              </w:rPr>
              <w:t>尚未获取到</w:t>
            </w:r>
            <w:r>
              <w:rPr>
                <w:rFonts w:hint="eastAsia"/>
              </w:rPr>
              <w:t>。</w:t>
            </w:r>
          </w:p>
          <w:p>
            <w:pPr>
              <w:rPr>
                <w:rFonts w:hint="default" w:eastAsia="宋体"/>
                <w:lang w:val="en-US" w:eastAsia="zh-CN"/>
              </w:rPr>
            </w:pPr>
            <w:r>
              <w:rPr>
                <w:rFonts w:hint="eastAsia"/>
              </w:rPr>
              <w:t>《防雷检测报告》编号：</w:t>
            </w:r>
            <w:r>
              <w:rPr>
                <w:rFonts w:hint="eastAsia"/>
                <w:lang w:val="en-US" w:eastAsia="zh-CN"/>
              </w:rPr>
              <w:t>BSPT-2022-ES0235,见报告</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sym w:font="Wingdings 2" w:char="0052"/>
            </w:r>
            <w:r>
              <w:rPr>
                <w:rFonts w:hint="eastAsia"/>
              </w:rPr>
              <w:t>存在不足，说明</w:t>
            </w:r>
            <w:r>
              <w:rPr>
                <w:rFonts w:hint="eastAsia"/>
                <w:lang w:val="en-US" w:eastAsia="zh-CN"/>
              </w:rPr>
              <w:t>消防检测未获取</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7-10</w:t>
            </w:r>
            <w:r>
              <w:rPr>
                <w:rFonts w:hint="eastAsia"/>
              </w:rPr>
              <w:t>日实施了职业健康安全管理体系内部审核，对职业健康安全管理体系的符合性和有效性进行了审核。内审发现的</w:t>
            </w:r>
            <w:r>
              <w:rPr>
                <w:rFonts w:hint="eastAsia"/>
                <w:lang w:val="en-US" w:eastAsia="zh-CN"/>
              </w:rPr>
              <w:t>4</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sym w:font="Wingdings 2" w:char="0052"/>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5"/>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1（合并）</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1（合并）</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hd w:val="clear" w:color="auto" w:fill="EBF1DE" w:themeFill="accent3" w:themeFillTint="32"/>
      </w:pPr>
    </w:p>
    <w:p>
      <w:pPr>
        <w:rPr>
          <w:rFonts w:ascii="Times New Roman" w:hAnsi="Times New Roman" w:eastAsia="宋体" w:cs="Times New Roman"/>
          <w:lang w:eastAsia="ja-JP"/>
        </w:rPr>
      </w:pPr>
      <w:r>
        <w:rPr>
          <w:rFonts w:ascii="Times New Roman" w:hAnsi="Times New Roman" w:eastAsia="宋体" w:cs="Times New Roman"/>
          <w:lang w:eastAsia="ja-JP"/>
        </w:rPr>
        <w:t xml:space="preserve">*评价: </w:t>
      </w:r>
      <w:r>
        <w:rPr>
          <w:rFonts w:ascii="Times New Roman" w:hAnsi="Times New Roman" w:eastAsia="宋体" w:cs="Times New Roman"/>
          <w:lang w:eastAsia="ja-JP"/>
        </w:rPr>
        <w:tab/>
      </w:r>
      <w:r>
        <w:rPr>
          <w:rFonts w:ascii="Times New Roman" w:hAnsi="Times New Roman" w:eastAsia="宋体" w:cs="Times New Roman"/>
          <w:lang w:eastAsia="ja-JP"/>
        </w:rPr>
        <w:t>1 = 符合</w:t>
      </w:r>
    </w:p>
    <w:p>
      <w:pPr>
        <w:rPr>
          <w:rFonts w:ascii="Times New Roman" w:hAnsi="Times New Roman" w:eastAsia="宋体" w:cs="Times New Roman"/>
          <w:lang w:eastAsia="ja-JP"/>
        </w:rPr>
      </w:pPr>
      <w:r>
        <w:rPr>
          <w:rFonts w:ascii="Times New Roman" w:hAnsi="Times New Roman" w:eastAsia="宋体" w:cs="Times New Roman"/>
          <w:lang w:eastAsia="ja-JP"/>
        </w:rPr>
        <w:tab/>
      </w:r>
      <w:r>
        <w:rPr>
          <w:rFonts w:ascii="Times New Roman" w:hAnsi="Times New Roman" w:eastAsia="宋体" w:cs="Times New Roman"/>
          <w:lang w:eastAsia="ja-JP"/>
        </w:rPr>
        <w:tab/>
      </w:r>
      <w:r>
        <w:rPr>
          <w:rFonts w:ascii="Times New Roman" w:hAnsi="Times New Roman" w:eastAsia="宋体" w:cs="Times New Roman"/>
          <w:lang w:eastAsia="ja-JP"/>
        </w:rPr>
        <w:t>2 = 这次审核没审</w:t>
      </w:r>
    </w:p>
    <w:p>
      <w:pPr>
        <w:rPr>
          <w:rFonts w:ascii="Times New Roman" w:hAnsi="Times New Roman" w:eastAsia="宋体" w:cs="Times New Roman"/>
          <w:lang w:eastAsia="ja-JP"/>
        </w:rPr>
      </w:pPr>
      <w:r>
        <w:rPr>
          <w:rFonts w:ascii="Times New Roman" w:hAnsi="Times New Roman" w:eastAsia="宋体" w:cs="Times New Roman"/>
          <w:lang w:eastAsia="ja-JP"/>
        </w:rPr>
        <w:tab/>
      </w:r>
      <w:r>
        <w:rPr>
          <w:rFonts w:ascii="Times New Roman" w:hAnsi="Times New Roman" w:eastAsia="宋体" w:cs="Times New Roman"/>
          <w:lang w:eastAsia="ja-JP"/>
        </w:rPr>
        <w:tab/>
      </w:r>
      <w:r>
        <w:rPr>
          <w:rFonts w:ascii="Times New Roman" w:hAnsi="Times New Roman" w:eastAsia="宋体" w:cs="Times New Roman"/>
          <w:lang w:eastAsia="ja-JP"/>
        </w:rPr>
        <w:t xml:space="preserve">3 = 失效/不符合(参见不符合报告)  </w:t>
      </w:r>
    </w:p>
    <w:p>
      <w:pPr>
        <w:rPr>
          <w:rFonts w:ascii="Times New Roman" w:hAnsi="Times New Roman" w:eastAsia="宋体" w:cs="Times New Roman"/>
          <w:lang w:eastAsia="ja-JP"/>
        </w:rPr>
      </w:pPr>
      <w:r>
        <w:rPr>
          <w:rFonts w:ascii="Times New Roman" w:hAnsi="Times New Roman" w:eastAsia="宋体" w:cs="Times New Roman"/>
          <w:lang w:eastAsia="ja-JP"/>
        </w:rPr>
        <w:tab/>
      </w:r>
      <w:r>
        <w:rPr>
          <w:rFonts w:ascii="Times New Roman" w:hAnsi="Times New Roman" w:eastAsia="宋体" w:cs="Times New Roman"/>
          <w:lang w:eastAsia="ja-JP"/>
        </w:rPr>
        <w:tab/>
      </w:r>
      <w:r>
        <w:rPr>
          <w:rFonts w:ascii="Times New Roman" w:hAnsi="Times New Roman" w:eastAsia="宋体" w:cs="Times New Roman"/>
          <w:lang w:eastAsia="ja-JP"/>
        </w:rPr>
        <w:t>4 = 不适用</w:t>
      </w:r>
    </w:p>
    <w:p>
      <w:pPr>
        <w:rPr>
          <w:rFonts w:ascii="Times New Roman" w:hAnsi="Times New Roman" w:eastAsia="宋体" w:cs="Times New Roman"/>
          <w:lang w:eastAsia="ja-JP"/>
        </w:rPr>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52"/>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Times New Roman" w:hAnsi="Times New Roman" w:eastAsia="宋体" w:cs="Times New Roman"/>
                <w:color w:val="000000"/>
                <w:kern w:val="2"/>
                <w:sz w:val="21"/>
                <w:szCs w:val="18"/>
                <w:lang w:val="en-US" w:eastAsia="zh-CN" w:bidi="ar-SA"/>
              </w:rPr>
              <w:t>依法节能、持续改进、降低能源消耗量、提高能源利用率。</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装备工程部  </w:t>
            </w:r>
            <w:r>
              <w:rPr>
                <w:rFonts w:hint="eastAsia"/>
              </w:rPr>
              <w:sym w:font="Wingdings 2" w:char="0052"/>
            </w:r>
            <w:r>
              <w:rPr>
                <w:rFonts w:hint="eastAsia"/>
              </w:rPr>
              <w:t>能源管理团队</w:t>
            </w:r>
            <w:r>
              <w:rPr>
                <w:rFonts w:hint="eastAsia"/>
                <w:lang w:eastAsia="zh-CN"/>
              </w:rPr>
              <w:t>——</w:t>
            </w:r>
            <w:r>
              <w:rPr>
                <w:rFonts w:hint="eastAsia"/>
                <w:lang w:val="en-US" w:eastAsia="zh-CN"/>
              </w:rPr>
              <w:t>各分厂</w:t>
            </w:r>
          </w:p>
          <w:p>
            <w:pPr>
              <w:shd w:val="clear" w:color="auto" w:fill="EBF1DE" w:themeFill="accent3"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rPr>
                <w:rFonts w:hint="default" w:eastAsia="宋体"/>
                <w:lang w:val="en-US" w:eastAsia="zh-CN"/>
              </w:rPr>
            </w:pPr>
            <w:r>
              <w:rPr>
                <w:rFonts w:hint="eastAsia"/>
              </w:rPr>
              <w:t>□蒸汽</w:t>
            </w:r>
            <w:r>
              <w:rPr>
                <w:rFonts w:hint="eastAsia"/>
                <w:lang w:val="en-US" w:eastAsia="zh-CN"/>
              </w:rPr>
              <w:t xml:space="preserve">  </w:t>
            </w:r>
            <w:r>
              <w:rPr>
                <w:rFonts w:hint="eastAsia"/>
              </w:rPr>
              <w:sym w:font="Wingdings 2" w:char="0052"/>
            </w:r>
            <w:r>
              <w:rPr>
                <w:rFonts w:hint="eastAsia"/>
                <w:lang w:val="en-US" w:eastAsia="zh-CN"/>
              </w:rPr>
              <w:t>煤</w:t>
            </w:r>
            <w:r>
              <w:rPr>
                <w:rFonts w:hint="eastAsia"/>
              </w:rPr>
              <w:t>气</w:t>
            </w:r>
            <w:r>
              <w:rPr>
                <w:rFonts w:hint="eastAsia"/>
                <w:lang w:val="en-US" w:eastAsia="zh-CN"/>
              </w:rPr>
              <w:t xml:space="preserve">  </w:t>
            </w:r>
            <w:r>
              <w:rPr>
                <w:rFonts w:hint="eastAsia"/>
              </w:rPr>
              <w:t>□燃料油</w:t>
            </w:r>
            <w:r>
              <w:rPr>
                <w:rFonts w:hint="eastAsia"/>
                <w:lang w:val="en-US" w:eastAsia="zh-CN"/>
              </w:rPr>
              <w:t xml:space="preserve">  </w:t>
            </w:r>
            <w:r>
              <w:rPr>
                <w:rFonts w:hint="eastAsia"/>
              </w:rPr>
              <w:sym w:font="Wingdings 2" w:char="00A3"/>
            </w:r>
            <w:r>
              <w:rPr>
                <w:rFonts w:hint="eastAsia"/>
              </w:rPr>
              <w:t>燃料气</w:t>
            </w:r>
            <w:r>
              <w:rPr>
                <w:rFonts w:hint="eastAsia"/>
                <w:lang w:val="en-US" w:eastAsia="zh-CN"/>
              </w:rPr>
              <w:t xml:space="preserve"> </w:t>
            </w:r>
            <w:r>
              <w:rPr>
                <w:rFonts w:hint="eastAsia"/>
              </w:rPr>
              <w:sym w:font="Wingdings 2" w:char="0052"/>
            </w:r>
            <w:r>
              <w:rPr>
                <w:rFonts w:hint="eastAsia"/>
              </w:rPr>
              <w:t>电力</w:t>
            </w:r>
            <w:r>
              <w:rPr>
                <w:rFonts w:hint="eastAsia"/>
                <w:lang w:val="en-US" w:eastAsia="zh-CN"/>
              </w:rPr>
              <w:t xml:space="preserve">发伏发电部分自用，部分送电网  </w:t>
            </w:r>
            <w:r>
              <w:rPr>
                <w:rFonts w:hint="eastAsia"/>
              </w:rPr>
              <w:sym w:font="Wingdings 2" w:char="00A3"/>
            </w:r>
            <w:r>
              <w:rPr>
                <w:rFonts w:hint="eastAsia"/>
              </w:rPr>
              <w:t>氮气□风</w:t>
            </w:r>
            <w:r>
              <w:rPr>
                <w:rFonts w:hint="eastAsia"/>
              </w:rPr>
              <w:sym w:font="Wingdings 2" w:char="0052"/>
            </w:r>
            <w:r>
              <w:rPr>
                <w:rFonts w:hint="eastAsia"/>
              </w:rPr>
              <w:t>新鲜水□各种品质水</w:t>
            </w:r>
            <w:r>
              <w:rPr>
                <w:rFonts w:hint="eastAsia"/>
                <w:lang w:val="en-US" w:eastAsia="zh-CN"/>
              </w:rPr>
              <w:t xml:space="preserve">   </w:t>
            </w:r>
            <w:r>
              <w:rPr>
                <w:rFonts w:hint="eastAsia"/>
              </w:rPr>
              <w:sym w:font="Wingdings 2" w:char="0052"/>
            </w:r>
            <w:r>
              <w:rPr>
                <w:rFonts w:hint="eastAsia"/>
              </w:rPr>
              <w:t>其他</w:t>
            </w:r>
            <w:r>
              <w:rPr>
                <w:rFonts w:hint="eastAsia"/>
                <w:lang w:val="en-US" w:eastAsia="zh-CN"/>
              </w:rPr>
              <w:t>煤炭、焦炭</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lang w:val="en-US" w:eastAsia="zh-CN"/>
              </w:rPr>
              <w:t>吨钢</w:t>
            </w:r>
            <w:r>
              <w:rPr>
                <w:rFonts w:hint="eastAsia"/>
              </w:rPr>
              <w:t>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工序综合能耗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2022.7</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sym w:font="Wingdings 2" w:char="0052"/>
            </w: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2022年1-6月</w:t>
                  </w: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numPr>
                      <w:ilvl w:val="0"/>
                      <w:numId w:val="5"/>
                    </w:numPr>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公司吨钢综合能耗≤560kgce/t；</w:t>
                  </w:r>
                </w:p>
              </w:tc>
              <w:tc>
                <w:tcPr>
                  <w:tcW w:w="235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加强节能管理，控制工艺参数及相关变量的波动</w:t>
                  </w:r>
                </w:p>
              </w:tc>
              <w:tc>
                <w:tcPr>
                  <w:tcW w:w="112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装备工程部/各生产厂</w:t>
                  </w:r>
                </w:p>
              </w:tc>
              <w:tc>
                <w:tcPr>
                  <w:tcW w:w="2797" w:type="dxa"/>
                  <w:shd w:val="clear" w:color="auto" w:fill="auto"/>
                  <w:vAlign w:val="center"/>
                </w:tcPr>
                <w:p>
                  <w:pPr>
                    <w:widowControl/>
                    <w:spacing w:before="40"/>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numPr>
                      <w:ilvl w:val="0"/>
                      <w:numId w:val="5"/>
                    </w:numPr>
                    <w:jc w:val="left"/>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公司吨钢耗新水≤2m³/t</w:t>
                  </w:r>
                  <w:r>
                    <w:rPr>
                      <w:rFonts w:hint="eastAsia" w:ascii="宋体" w:hAnsi="宋体" w:eastAsia="宋体" w:cs="Times New Roman"/>
                      <w:color w:val="000000"/>
                      <w:szCs w:val="21"/>
                      <w:lang w:val="en-US" w:eastAsia="zh-CN"/>
                    </w:rPr>
                    <w:t>；</w:t>
                  </w:r>
                </w:p>
              </w:tc>
              <w:tc>
                <w:tcPr>
                  <w:tcW w:w="2354"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none"/>
                      <w:lang w:val="en-US" w:eastAsia="zh-CN" w:bidi="ar-SA"/>
                    </w:rPr>
                  </w:pPr>
                  <w:r>
                    <w:rPr>
                      <w:rFonts w:hint="eastAsia"/>
                      <w:highlight w:val="none"/>
                      <w:lang w:val="en-US" w:eastAsia="zh-CN"/>
                    </w:rPr>
                    <w:t>加强节能节水管理</w:t>
                  </w:r>
                </w:p>
              </w:tc>
              <w:tc>
                <w:tcPr>
                  <w:tcW w:w="1126"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lang w:val="en-US" w:eastAsia="zh-CN"/>
                    </w:rPr>
                    <w:t>装备工程部/各生产厂</w:t>
                  </w:r>
                </w:p>
              </w:tc>
              <w:tc>
                <w:tcPr>
                  <w:tcW w:w="2797" w:type="dxa"/>
                  <w:shd w:val="clear" w:color="auto" w:fill="auto"/>
                  <w:vAlign w:val="center"/>
                </w:tcPr>
                <w:p>
                  <w:pPr>
                    <w:widowControl/>
                    <w:spacing w:before="40"/>
                    <w:rPr>
                      <w:rFonts w:hint="default" w:ascii="宋体" w:hAnsi="宋体" w:eastAsia="宋体" w:cs="Times New Roman"/>
                      <w:szCs w:val="21"/>
                      <w:lang w:val="en-US" w:eastAsia="zh-CN"/>
                    </w:rPr>
                  </w:pPr>
                  <w:r>
                    <w:rPr>
                      <w:rFonts w:hint="eastAsia"/>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center"/>
                </w:tcPr>
                <w:p>
                  <w:pPr>
                    <w:widowControl/>
                    <w:numPr>
                      <w:ilvl w:val="0"/>
                      <w:numId w:val="5"/>
                    </w:numPr>
                    <w:jc w:val="left"/>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公司自发电率≥75%</w:t>
                  </w:r>
                  <w:r>
                    <w:rPr>
                      <w:rFonts w:hint="eastAsia" w:ascii="宋体" w:hAnsi="宋体" w:eastAsia="宋体" w:cs="Times New Roman"/>
                      <w:color w:val="000000"/>
                      <w:szCs w:val="21"/>
                      <w:lang w:val="en-US" w:eastAsia="zh-CN"/>
                    </w:rPr>
                    <w:t>；</w:t>
                  </w: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加强节能管理，控制工艺参数及相关变量的波动，提高产品产量</w:t>
                  </w:r>
                </w:p>
              </w:tc>
              <w:tc>
                <w:tcPr>
                  <w:tcW w:w="112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none"/>
                      <w:lang w:val="en-US" w:eastAsia="zh-CN" w:bidi="ar-SA"/>
                    </w:rPr>
                  </w:pPr>
                  <w:r>
                    <w:rPr>
                      <w:rFonts w:hint="eastAsia"/>
                      <w:highlight w:val="none"/>
                      <w:lang w:val="en-US" w:eastAsia="zh-CN"/>
                    </w:rPr>
                    <w:t>装备工程部/发电厂</w:t>
                  </w:r>
                </w:p>
              </w:tc>
              <w:tc>
                <w:tcPr>
                  <w:tcW w:w="2797" w:type="dxa"/>
                  <w:shd w:val="clear" w:color="auto" w:fill="auto"/>
                  <w:vAlign w:val="center"/>
                </w:tcPr>
                <w:p>
                  <w:pPr>
                    <w:widowControl/>
                    <w:spacing w:before="40"/>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szCs w:val="21"/>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numPr>
                      <w:ilvl w:val="0"/>
                      <w:numId w:val="5"/>
                    </w:numPr>
                    <w:jc w:val="left"/>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烧结工序能耗≤50kgce/t</w:t>
                  </w:r>
                  <w:r>
                    <w:rPr>
                      <w:rFonts w:hint="eastAsia" w:ascii="宋体" w:hAnsi="宋体" w:eastAsia="宋体" w:cs="Times New Roman"/>
                      <w:color w:val="000000"/>
                      <w:szCs w:val="21"/>
                      <w:lang w:val="en-US" w:eastAsia="zh-CN"/>
                    </w:rPr>
                    <w:t>；</w:t>
                  </w:r>
                </w:p>
              </w:tc>
              <w:tc>
                <w:tcPr>
                  <w:tcW w:w="2354"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highlight w:val="none"/>
                      <w:lang w:val="en-US" w:eastAsia="zh-CN"/>
                    </w:rPr>
                    <w:t>装备工程部/烧结厂</w:t>
                  </w:r>
                </w:p>
              </w:tc>
              <w:tc>
                <w:tcPr>
                  <w:tcW w:w="2797" w:type="dxa"/>
                  <w:shd w:val="clear" w:color="auto" w:fill="auto"/>
                  <w:vAlign w:val="center"/>
                </w:tcPr>
                <w:p>
                  <w:pPr>
                    <w:widowControl/>
                    <w:spacing w:before="40"/>
                    <w:rPr>
                      <w:rFonts w:hint="eastAsia" w:ascii="宋体" w:hAnsi="宋体" w:eastAsia="宋体"/>
                      <w:highlight w:val="none"/>
                      <w:lang w:eastAsia="zh-CN"/>
                    </w:rPr>
                  </w:pPr>
                  <w:r>
                    <w:rPr>
                      <w:rFonts w:hint="eastAsia" w:ascii="宋体" w:hAnsi="宋体" w:eastAsia="宋体" w:cs="Times New Roman"/>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numPr>
                      <w:ilvl w:val="0"/>
                      <w:numId w:val="5"/>
                    </w:numPr>
                    <w:jc w:val="left"/>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石灰工序能耗≤185kgce/t</w:t>
                  </w:r>
                  <w:r>
                    <w:rPr>
                      <w:rFonts w:hint="eastAsia" w:ascii="宋体" w:hAnsi="宋体" w:eastAsia="宋体" w:cs="Times New Roman"/>
                      <w:color w:val="000000"/>
                      <w:szCs w:val="21"/>
                      <w:lang w:val="en-US" w:eastAsia="zh-CN"/>
                    </w:rPr>
                    <w:t>；</w:t>
                  </w:r>
                </w:p>
              </w:tc>
              <w:tc>
                <w:tcPr>
                  <w:tcW w:w="2354"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eastAsia" w:ascii="宋体" w:hAnsi="宋体"/>
                      <w:highlight w:val="none"/>
                      <w:lang w:val="en-US" w:eastAsia="zh-CN"/>
                    </w:rPr>
                  </w:pPr>
                  <w:r>
                    <w:rPr>
                      <w:rFonts w:hint="eastAsia"/>
                      <w:highlight w:val="none"/>
                      <w:lang w:val="en-US" w:eastAsia="zh-CN"/>
                    </w:rPr>
                    <w:t>装备工程部/石灰厂</w:t>
                  </w:r>
                </w:p>
              </w:tc>
              <w:tc>
                <w:tcPr>
                  <w:tcW w:w="2797" w:type="dxa"/>
                  <w:shd w:val="clear" w:color="auto" w:fill="auto"/>
                  <w:vAlign w:val="center"/>
                </w:tcPr>
                <w:p>
                  <w:pPr>
                    <w:widowControl/>
                    <w:spacing w:before="4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numPr>
                      <w:ilvl w:val="0"/>
                      <w:numId w:val="5"/>
                    </w:numPr>
                    <w:jc w:val="left"/>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高炉工序能耗≤375kgce/t</w:t>
                  </w:r>
                  <w:r>
                    <w:rPr>
                      <w:rFonts w:hint="eastAsia" w:ascii="宋体" w:hAnsi="宋体" w:eastAsia="宋体" w:cs="Times New Roman"/>
                      <w:color w:val="000000"/>
                      <w:szCs w:val="21"/>
                      <w:lang w:val="en-US" w:eastAsia="zh-CN"/>
                    </w:rPr>
                    <w:t>；</w:t>
                  </w:r>
                </w:p>
              </w:tc>
              <w:tc>
                <w:tcPr>
                  <w:tcW w:w="2354"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eastAsia" w:ascii="宋体" w:hAnsi="宋体"/>
                      <w:highlight w:val="none"/>
                      <w:lang w:val="en-US" w:eastAsia="zh-CN"/>
                    </w:rPr>
                  </w:pPr>
                  <w:r>
                    <w:rPr>
                      <w:rFonts w:hint="eastAsia"/>
                      <w:highlight w:val="none"/>
                      <w:lang w:val="en-US" w:eastAsia="zh-CN"/>
                    </w:rPr>
                    <w:t>装备工程部/炼铁厂</w:t>
                  </w:r>
                </w:p>
              </w:tc>
              <w:tc>
                <w:tcPr>
                  <w:tcW w:w="2797" w:type="dxa"/>
                  <w:shd w:val="clear" w:color="auto" w:fill="auto"/>
                  <w:vAlign w:val="center"/>
                </w:tcPr>
                <w:p>
                  <w:pPr>
                    <w:widowControl/>
                    <w:spacing w:before="4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numPr>
                      <w:ilvl w:val="0"/>
                      <w:numId w:val="5"/>
                    </w:numPr>
                    <w:jc w:val="left"/>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转炉工序能耗≤-25kgce/t</w:t>
                  </w:r>
                  <w:r>
                    <w:rPr>
                      <w:rFonts w:hint="eastAsia" w:ascii="宋体" w:hAnsi="宋体" w:eastAsia="宋体" w:cs="Times New Roman"/>
                      <w:color w:val="000000"/>
                      <w:szCs w:val="21"/>
                      <w:lang w:val="en-US" w:eastAsia="zh-CN"/>
                    </w:rPr>
                    <w:t>；</w:t>
                  </w:r>
                </w:p>
              </w:tc>
              <w:tc>
                <w:tcPr>
                  <w:tcW w:w="2354" w:type="dxa"/>
                  <w:shd w:val="clear" w:color="auto" w:fill="auto"/>
                  <w:vAlign w:val="center"/>
                </w:tcPr>
                <w:p>
                  <w:pPr>
                    <w:shd w:val="clear" w:color="auto" w:fill="EBF1DE" w:themeFill="accent3" w:themeFillTint="32"/>
                    <w:rPr>
                      <w:rFonts w:hint="eastAsia"/>
                      <w:highlight w:val="none"/>
                      <w:lang w:val="en-US" w:eastAsia="zh-CN"/>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eastAsia" w:ascii="宋体" w:hAnsi="宋体"/>
                      <w:highlight w:val="none"/>
                      <w:lang w:val="en-US" w:eastAsia="zh-CN"/>
                    </w:rPr>
                  </w:pPr>
                  <w:r>
                    <w:rPr>
                      <w:rFonts w:hint="eastAsia"/>
                      <w:highlight w:val="none"/>
                      <w:lang w:val="en-US" w:eastAsia="zh-CN"/>
                    </w:rPr>
                    <w:t>装备工程部/炼钢厂</w:t>
                  </w:r>
                </w:p>
              </w:tc>
              <w:tc>
                <w:tcPr>
                  <w:tcW w:w="2797" w:type="dxa"/>
                  <w:shd w:val="clear" w:color="auto" w:fill="auto"/>
                  <w:vAlign w:val="center"/>
                </w:tcPr>
                <w:p>
                  <w:pPr>
                    <w:widowControl/>
                    <w:spacing w:before="4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numPr>
                      <w:ilvl w:val="0"/>
                      <w:numId w:val="5"/>
                    </w:numPr>
                    <w:jc w:val="left"/>
                    <w:rPr>
                      <w:rFonts w:hint="eastAsia" w:ascii="Times New Roman" w:hAnsi="Times New Roman" w:eastAsia="宋体" w:cs="Times New Roman"/>
                      <w:highlight w:val="none"/>
                      <w:lang w:val="en-US" w:eastAsia="zh-CN"/>
                    </w:rPr>
                  </w:pPr>
                  <w:r>
                    <w:rPr>
                      <w:rFonts w:hint="default" w:ascii="宋体" w:hAnsi="宋体"/>
                      <w:color w:val="000000"/>
                      <w:szCs w:val="21"/>
                      <w:lang w:val="en-US" w:eastAsia="zh-CN"/>
                    </w:rPr>
                    <w:t>公司一二级能源计量器具定期维护，溯源率≥95%，完好率≥95%</w:t>
                  </w:r>
                </w:p>
              </w:tc>
              <w:tc>
                <w:tcPr>
                  <w:tcW w:w="2354" w:type="dxa"/>
                  <w:shd w:val="clear" w:color="auto" w:fill="auto"/>
                  <w:vAlign w:val="center"/>
                </w:tcPr>
                <w:p>
                  <w:pPr>
                    <w:shd w:val="clear" w:color="auto" w:fill="EBF1DE" w:themeFill="accent3" w:themeFillTint="32"/>
                    <w:rPr>
                      <w:rFonts w:hint="default"/>
                      <w:highlight w:val="none"/>
                      <w:lang w:val="en-US" w:eastAsia="zh-CN"/>
                    </w:rPr>
                  </w:pPr>
                  <w:r>
                    <w:rPr>
                      <w:rFonts w:hint="eastAsia"/>
                      <w:highlight w:val="none"/>
                      <w:lang w:val="en-US" w:eastAsia="zh-CN"/>
                    </w:rPr>
                    <w:t>制定检定计划按计划执行</w:t>
                  </w:r>
                </w:p>
              </w:tc>
              <w:tc>
                <w:tcPr>
                  <w:tcW w:w="1126" w:type="dxa"/>
                  <w:shd w:val="clear" w:color="auto" w:fill="auto"/>
                  <w:vAlign w:val="center"/>
                </w:tcPr>
                <w:p>
                  <w:pPr>
                    <w:shd w:val="clear" w:color="auto" w:fill="EBF1DE" w:themeFill="accent3" w:themeFillTint="32"/>
                    <w:rPr>
                      <w:rFonts w:hint="eastAsia" w:ascii="宋体" w:hAnsi="宋体"/>
                      <w:highlight w:val="none"/>
                      <w:lang w:val="en-US" w:eastAsia="zh-CN"/>
                    </w:rPr>
                  </w:pPr>
                  <w:r>
                    <w:rPr>
                      <w:rFonts w:hint="eastAsia"/>
                      <w:highlight w:val="none"/>
                      <w:lang w:val="en-US" w:eastAsia="zh-CN"/>
                    </w:rPr>
                    <w:t>装备工程部</w:t>
                  </w:r>
                </w:p>
              </w:tc>
              <w:tc>
                <w:tcPr>
                  <w:tcW w:w="2797" w:type="dxa"/>
                  <w:shd w:val="clear" w:color="auto" w:fill="auto"/>
                  <w:vAlign w:val="center"/>
                </w:tcPr>
                <w:p>
                  <w:pPr>
                    <w:widowControl/>
                    <w:spacing w:before="4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完成</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w:t>
            </w:r>
            <w:r>
              <w:rPr>
                <w:rFonts w:hint="eastAsia"/>
                <w:highlight w:val="none"/>
                <w:lang w:val="en-US" w:eastAsia="zh-CN"/>
              </w:rPr>
              <w:t>部分</w:t>
            </w:r>
            <w:r>
              <w:rPr>
                <w:rFonts w:hint="eastAsia"/>
                <w:highlight w:val="none"/>
              </w:rPr>
              <w:t>实现</w:t>
            </w:r>
            <w:r>
              <w:rPr>
                <w:rFonts w:hint="eastAsia"/>
                <w:highlight w:val="none"/>
                <w:lang w:eastAsia="zh-CN"/>
              </w:rPr>
              <w:t>，</w:t>
            </w:r>
            <w:r>
              <w:rPr>
                <w:rFonts w:hint="eastAsia"/>
                <w:highlight w:val="none"/>
                <w:lang w:val="en-US" w:eastAsia="zh-CN"/>
              </w:rPr>
              <w:t>完成限额要求。</w:t>
            </w:r>
          </w:p>
          <w:p>
            <w:pPr>
              <w:shd w:val="clear" w:color="auto" w:fill="EBF1DE" w:themeFill="accent3" w:themeFillTint="32"/>
            </w:pPr>
            <w:r>
              <w:rPr>
                <w:rFonts w:hint="eastAsia" w:ascii="Wingdings" w:hAnsi="Wingdings"/>
                <w:lang w:eastAsia="zh-CN"/>
              </w:rPr>
              <w:sym w:font="Wingdings 2" w:char="0052"/>
            </w:r>
            <w:r>
              <w:rPr>
                <w:rFonts w:hint="eastAsia"/>
              </w:rPr>
              <w:t>目标没有实现的，</w:t>
            </w:r>
            <w:r>
              <w:rPr>
                <w:rFonts w:hint="eastAsia"/>
                <w:lang w:val="en-US" w:eastAsia="zh-CN"/>
              </w:rPr>
              <w:t>自发电率未完成，</w:t>
            </w:r>
            <w:r>
              <w:rPr>
                <w:rFonts w:hint="eastAsia"/>
              </w:rPr>
              <w:t>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val="en-US" w:eastAsia="zh-CN"/>
              </w:rPr>
              <w:t>占地</w:t>
            </w:r>
            <w:r>
              <w:rPr>
                <w:rFonts w:hint="eastAsia"/>
              </w:rPr>
              <w:t>面积</w:t>
            </w:r>
            <w:r>
              <w:rPr>
                <w:rFonts w:hint="eastAsia"/>
                <w:lang w:val="en-US" w:eastAsia="zh-CN"/>
              </w:rPr>
              <w:t>1446000</w:t>
            </w:r>
            <w:r>
              <w:rPr>
                <w:rFonts w:hint="eastAsia"/>
              </w:rPr>
              <w:t>平方米；生产</w:t>
            </w:r>
            <w:r>
              <w:rPr>
                <w:rFonts w:hint="eastAsia"/>
                <w:lang w:val="en-US" w:eastAsia="zh-CN"/>
              </w:rPr>
              <w:t>厂6</w:t>
            </w:r>
            <w:r>
              <w:rPr>
                <w:rFonts w:hint="eastAsia"/>
              </w:rPr>
              <w:t>个</w:t>
            </w:r>
            <w:r>
              <w:rPr>
                <w:rFonts w:hint="eastAsia"/>
                <w:lang w:eastAsia="zh-CN"/>
              </w:rPr>
              <w:t>（</w:t>
            </w:r>
            <w:r>
              <w:rPr>
                <w:rFonts w:hint="eastAsia"/>
                <w:lang w:val="en-US" w:eastAsia="zh-CN"/>
              </w:rPr>
              <w:t>其中：原料厂为原辅材料的储存和管理、炼钢厂负责产品的储存和管理</w:t>
            </w:r>
            <w:r>
              <w:rPr>
                <w:rFonts w:hint="eastAsia"/>
                <w:lang w:eastAsia="zh-CN"/>
              </w:rPr>
              <w:t>）</w:t>
            </w:r>
            <w:r>
              <w:rPr>
                <w:rFonts w:hint="eastAsia"/>
              </w:rPr>
              <w:t>；实验室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color w:val="auto"/>
                <w:u w:val="single"/>
                <w:lang w:val="en-US" w:eastAsia="zh-CN"/>
              </w:rPr>
              <w:t>炼铁炉、炼钢炉、烧结炉、空压机、制氧设备、汽轮机、燃气锅炉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color w:val="auto"/>
                <w:u w:val="single"/>
                <w:lang w:val="en-US" w:eastAsia="zh-CN"/>
              </w:rPr>
              <w:t>炼铁炉、炼钢炉、烧结炉、燃气锅炉</w:t>
            </w:r>
            <w:r>
              <w:rPr>
                <w:rFonts w:hint="eastAsia"/>
                <w:color w:val="000000"/>
                <w:szCs w:val="22"/>
                <w:u w:val="single"/>
                <w:lang w:val="en-US" w:eastAsia="zh-CN"/>
              </w:rPr>
              <w:t>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sym w:font="Wingdings 2" w:char="0052"/>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A3"/>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电表、水表、煤气表、地秤</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52"/>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一级计量如电表、水表</w:t>
            </w:r>
            <w:r>
              <w:rPr>
                <w:rFonts w:hint="eastAsia"/>
                <w:highlight w:val="none"/>
                <w:lang w:val="en-US" w:eastAsia="zh-CN"/>
              </w:rPr>
              <w:t>由供方校验</w:t>
            </w:r>
            <w:r>
              <w:rPr>
                <w:rFonts w:hint="eastAsia"/>
                <w:lang w:val="en-US" w:eastAsia="zh-CN"/>
              </w:rPr>
              <w:t>。已与企业进行沟通，建议向供方获取检定或校准资料。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ascii="Times New Roman" w:hAnsi="Times New Roman" w:eastAsia="宋体" w:cs="Times New Roman"/>
                <w:lang w:val="en-US" w:eastAsia="zh-CN"/>
              </w:rPr>
              <w:t>暂无</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A3"/>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煤炭、焦炭</w:t>
                  </w:r>
                  <w:r>
                    <w:rPr>
                      <w:rFonts w:hint="eastAsia"/>
                    </w:rPr>
                    <w:t>消耗</w:t>
                  </w:r>
                </w:p>
              </w:tc>
              <w:tc>
                <w:tcPr>
                  <w:tcW w:w="3665" w:type="dxa"/>
                </w:tcPr>
                <w:p>
                  <w:pPr>
                    <w:shd w:val="clear" w:color="auto" w:fill="EBF1DE" w:themeFill="accent3" w:themeFillTint="32"/>
                    <w:jc w:val="left"/>
                    <w:rPr>
                      <w:rFonts w:hint="default" w:eastAsia="宋体"/>
                      <w:lang w:val="en-US" w:eastAsia="zh-CN"/>
                    </w:rPr>
                  </w:pPr>
                  <w:r>
                    <w:rPr>
                      <w:rFonts w:hint="eastAsia" w:eastAsia="宋体"/>
                      <w:lang w:val="en-US" w:eastAsia="zh-CN"/>
                    </w:rPr>
                    <w:t>加强煤炭焦炭管理和使用控制及考核，</w:t>
                  </w:r>
                </w:p>
              </w:tc>
              <w:tc>
                <w:tcPr>
                  <w:tcW w:w="3265" w:type="dxa"/>
                </w:tcPr>
                <w:p>
                  <w:pPr>
                    <w:shd w:val="clear" w:color="auto" w:fill="EBF1DE" w:themeFill="accent3" w:themeFillTint="32"/>
                    <w:jc w:val="left"/>
                    <w:rPr>
                      <w:rFonts w:hint="default" w:eastAsia="宋体"/>
                      <w:lang w:val="en-US" w:eastAsia="zh-CN"/>
                    </w:rPr>
                  </w:pPr>
                  <w:r>
                    <w:rPr>
                      <w:rFonts w:hint="eastAsia" w:eastAsia="宋体"/>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7-10</w:t>
            </w:r>
            <w:r>
              <w:rPr>
                <w:rFonts w:hint="eastAsia"/>
              </w:rPr>
              <w:t>日实施了能源管理体系内部审核，对能源管理体系的符合性和有效性进行了审核。内审发现的</w:t>
            </w:r>
            <w:r>
              <w:rPr>
                <w:rFonts w:hint="eastAsia"/>
                <w:lang w:val="en-US" w:eastAsia="zh-CN"/>
              </w:rPr>
              <w:t>3</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1（合并）</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bookmarkStart w:id="32" w:name="_GoBack"/>
      <w:bookmarkEnd w:id="32"/>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756" w:firstLineChars="400"/>
      <w:jc w:val="left"/>
      <w:rPr>
        <w:rStyle w:val="21"/>
        <w:rFonts w:hint="default"/>
      </w:rPr>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B9E55"/>
    <w:multiLevelType w:val="singleLevel"/>
    <w:tmpl w:val="B75B9E55"/>
    <w:lvl w:ilvl="0" w:tentative="0">
      <w:start w:val="1"/>
      <w:numFmt w:val="decimal"/>
      <w:lvlText w:val="%1."/>
      <w:lvlJc w:val="left"/>
      <w:pPr>
        <w:tabs>
          <w:tab w:val="left" w:pos="312"/>
        </w:tabs>
      </w:pPr>
    </w:lvl>
  </w:abstractNum>
  <w:abstractNum w:abstractNumId="1">
    <w:nsid w:val="D7A383CD"/>
    <w:multiLevelType w:val="singleLevel"/>
    <w:tmpl w:val="D7A383CD"/>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41F4B5B0"/>
    <w:multiLevelType w:val="singleLevel"/>
    <w:tmpl w:val="41F4B5B0"/>
    <w:lvl w:ilvl="0" w:tentative="0">
      <w:start w:val="1"/>
      <w:numFmt w:val="decimal"/>
      <w:lvlText w:val="%1."/>
      <w:lvlJc w:val="left"/>
      <w:pPr>
        <w:tabs>
          <w:tab w:val="left" w:pos="312"/>
        </w:tabs>
      </w:pPr>
    </w:lvl>
  </w:abstractNum>
  <w:abstractNum w:abstractNumId="4">
    <w:nsid w:val="65D79C2B"/>
    <w:multiLevelType w:val="singleLevel"/>
    <w:tmpl w:val="65D79C2B"/>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99409F"/>
    <w:rsid w:val="4C934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3">
    <w:name w:val="Body Text"/>
    <w:basedOn w:val="1"/>
    <w:next w:val="4"/>
    <w:qFormat/>
    <w:uiPriority w:val="0"/>
  </w:style>
  <w:style w:type="paragraph" w:styleId="4">
    <w:name w:val="List Bullet 5"/>
    <w:basedOn w:val="1"/>
    <w:semiHidden/>
    <w:unhideWhenUsed/>
    <w:uiPriority w:val="99"/>
    <w:pPr>
      <w:numPr>
        <w:ilvl w:val="0"/>
        <w:numId w:val="1"/>
      </w:numPr>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unhideWhenUsed/>
    <w:qFormat/>
    <w:uiPriority w:val="99"/>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2022-07-22T16:52:42Z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