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过程与活动、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Cs w:val="21"/>
              </w:rPr>
              <w:t>河北华西特种钢铁有限公司</w:t>
            </w:r>
            <w:bookmarkEnd w:id="0"/>
            <w:r>
              <w:rPr>
                <w:rFonts w:hint="eastAsia"/>
                <w:color w:val="000000"/>
                <w:szCs w:val="21"/>
              </w:rPr>
              <w:t xml:space="preserve">              陪同人员：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杜辉、冯建强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Cs w:val="21"/>
                <w:lang w:val="en-US" w:eastAsia="zh-CN"/>
              </w:rPr>
              <w:t>李丽英，</w:t>
            </w:r>
            <w:r>
              <w:rPr>
                <w:rFonts w:hint="eastAsia"/>
                <w:color w:val="000000"/>
                <w:szCs w:val="21"/>
              </w:rPr>
              <w:t>吉洁，杨园，张静，郑雅楠</w:t>
            </w:r>
            <w:bookmarkEnd w:id="1"/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/>
              <w:ind w:firstLine="840" w:firstLineChars="4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张静远程采用微信，腾讯会议，文件传输等方式实施审核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审核时间：</w:t>
            </w:r>
            <w:bookmarkStart w:id="2" w:name="审核日期"/>
            <w:r>
              <w:rPr>
                <w:rFonts w:hint="eastAsia"/>
                <w:color w:val="000000"/>
                <w:szCs w:val="21"/>
              </w:rPr>
              <w:t>2022年07月07日 上午至2022年07月08日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</w:t>
            </w:r>
            <w:r>
              <w:rPr>
                <w:rFonts w:hint="eastAsia"/>
                <w:color w:val="000000"/>
                <w:szCs w:val="21"/>
              </w:rPr>
              <w:t>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：统一社会信用代码91130294MA0DB1888M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2019年3月18日至长期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：炼钢、炼铁;钢材轧制、销售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矿渣微粉、烧结矿、氧气生产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钢铁销售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普通货运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货物或技术进出口(国家禁止或涉及行政审批的货物和技术进出口除外)(依法须经批准的项目，经相关部门批准后方可开展经营活动)。；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Q：连铸钢坯的生产和销售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textAlignment w:val="auto"/>
            </w:pPr>
            <w:r>
              <w:t>O：连铸钢坯的生产和销售所涉及场所的相关职业健康安全管理活动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textAlignment w:val="auto"/>
              <w:rPr>
                <w:rFonts w:hint="eastAsia" w:eastAsia="宋体"/>
                <w:lang w:val="en-US" w:eastAsia="zh-CN"/>
              </w:rPr>
            </w:pPr>
            <w:r>
              <w:t>E：连铸钢坯的生产和销售所涉及场所的相关环境管理活</w:t>
            </w:r>
            <w:r>
              <w:rPr>
                <w:rFonts w:hint="eastAsia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textAlignment w:val="auto"/>
              <w:rPr>
                <w:color w:val="000000"/>
                <w:szCs w:val="21"/>
              </w:rPr>
            </w:pPr>
            <w:r>
              <w:t>EnMS：连铸钢坯的生产和销售所涉及的能源管理活动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唐山海港开发区东风大路以东、兴业大街以北、沿海公路以南办公楼一层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唐山海港开发区东风大路以东、兴业大街以北、沿海公路以南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Cs w:val="18"/>
                <w:lang w:eastAsia="zh-CN"/>
              </w:rPr>
              <w:drawing>
                <wp:inline distT="0" distB="0" distL="114300" distR="114300">
                  <wp:extent cx="2508250" cy="2662555"/>
                  <wp:effectExtent l="0" t="0" r="6350" b="4445"/>
                  <wp:docPr id="1" name="图片 1" descr="16572673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726738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1650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436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1214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管理人员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三班两倒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质量环境职业健康安全管理</w:t>
            </w: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能源管理</w:t>
            </w: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质量环境职业健康安全管理</w:t>
            </w:r>
            <w:r>
              <w:rPr>
                <w:rFonts w:hint="eastAsia"/>
                <w:color w:val="000000"/>
                <w:szCs w:val="18"/>
              </w:rPr>
              <w:t>体系</w:t>
            </w:r>
            <w:r>
              <w:rPr>
                <w:rFonts w:hint="eastAsia"/>
                <w:color w:val="000000"/>
              </w:rPr>
              <w:t>已运行3个月以上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</w:t>
            </w:r>
            <w:r>
              <w:rPr>
                <w:rFonts w:hint="eastAsia"/>
                <w:color w:val="000000"/>
                <w:lang w:val="en-US" w:eastAsia="zh-CN"/>
              </w:rPr>
              <w:t>能源</w:t>
            </w:r>
            <w:r>
              <w:rPr>
                <w:rFonts w:hint="eastAsia"/>
                <w:color w:val="000000"/>
              </w:rPr>
              <w:t>管理体系运行</w:t>
            </w:r>
            <w:r>
              <w:rPr>
                <w:rFonts w:hint="eastAsia"/>
                <w:color w:val="000000"/>
                <w:lang w:val="en-US" w:eastAsia="zh-CN"/>
              </w:rPr>
              <w:t>已满6个月以上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</w:t>
            </w:r>
            <w:r>
              <w:rPr>
                <w:rFonts w:hint="eastAsia"/>
                <w:color w:val="000000"/>
              </w:rPr>
              <w:t>准宣贯的时间：</w:t>
            </w:r>
            <w:r>
              <w:rPr>
                <w:rFonts w:hint="eastAsia"/>
                <w:color w:val="000000"/>
                <w:lang w:val="en-US" w:eastAsia="zh-CN"/>
              </w:rPr>
              <w:t>2021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1-3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钢包砌筑、中包砌筑、转炉炉体耐材维护保养、铁水包、环保设备运维、电梯维保、消防设备维保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组织文件化的管理方针已制定，内容为：</w:t>
            </w:r>
          </w:p>
          <w:p>
            <w:pPr>
              <w:pStyle w:val="13"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1、质量方针：精益求精，增强顾客满意；精益求进，实现持续改进。</w:t>
            </w:r>
          </w:p>
          <w:p>
            <w:pPr>
              <w:pStyle w:val="13"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2、职业健康安全方针：以人为本、关爱生命、遵章守纪、保障安全。</w:t>
            </w:r>
          </w:p>
          <w:p>
            <w:pPr>
              <w:pStyle w:val="13"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3、环境方针：预防为主、防治结合、遵纪守法、综合治理。</w:t>
            </w:r>
          </w:p>
          <w:p>
            <w:pPr>
              <w:pStyle w:val="13"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4、能源方针：依法节能、持续改进、降低能源消耗量、提高能源利用率。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质量目标：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1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铁水合格率95%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铁水一级品率70%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3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铸坯综合合格率99.80%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4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钢号命中率99.70%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5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烧结矿R2稳定率（±0.1）≥80%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                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6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烧结矿FeO(8-11%)稳定率≥85%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7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烧结矿转鼓强度≥75%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石灰块CaO≥85指标≥80%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9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白灰面CaO≥85指标≥85%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10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顾客满意度≥90分；顾客投诉率为0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职业健康安全目标：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死亡、重伤 、重大设备事故、重大生产事故、重大火灾发生率为0%。      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千人负伤率≤5‰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 xml:space="preserve">职业性疾病发生率为0%。 2、职业健康体检率100%  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岗位职业危害因素监测达标率98%以上。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特种作业人员持证上岗率100%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从业人员安全培训率达100%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新员工入厂三级教育合格率100%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隐患整改率98%以上。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特种设备及安全附件定期检验率100%；特种设备操作人员持证率100%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环境目标：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1.环保设施同步运行率、完好率达到100%</w:t>
            </w:r>
          </w:p>
          <w:p>
            <w:pPr>
              <w:widowControl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废气中</w:t>
            </w:r>
            <w:r>
              <w:rPr>
                <w:rFonts w:ascii="宋体" w:hAnsi="宋体"/>
                <w:color w:val="000000"/>
                <w:szCs w:val="21"/>
              </w:rPr>
              <w:t>SO2、NOx等主要污染物浓度达标排放率100%。（符合国家排放标准）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color w:val="000000"/>
                <w:szCs w:val="21"/>
              </w:rPr>
              <w:t>颗粒物浓度达标排放率100%（符合国家排放标准）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东、南、西厂界噪声符合昼间65db,夜间55db三类标准、北厂界噪声符合昼间70db,夜间55db四类标准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工业废物分类并规范处理率100%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环境污染事故为零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能源目标：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公司吨钢综合能耗≤560kgce/t；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公司吨钢耗新水≤2m³/t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公司自发电率≥75%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烧结工序能耗≤50kgce/t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石灰工序能耗≤185kgce/t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高炉工序能耗≤375kgce/t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转炉工序能耗≤-25kgce/t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公司一二级能源计量器具定期维护，溯源率≥95%，完好率≥95%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7--10日</w:t>
            </w:r>
            <w:r>
              <w:rPr>
                <w:rFonts w:hint="eastAsia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四体系的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管理体系，于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1--2日再次</w:t>
            </w:r>
            <w:r>
              <w:rPr>
                <w:rFonts w:hint="eastAsia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能源管理体系的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12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</w:t>
            </w:r>
            <w:r>
              <w:rPr>
                <w:rFonts w:hint="eastAsia"/>
                <w:color w:val="000000"/>
                <w:szCs w:val="18"/>
              </w:rPr>
              <w:t>日实施了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四体系的</w:t>
            </w:r>
            <w:r>
              <w:rPr>
                <w:rFonts w:hint="eastAsia"/>
                <w:color w:val="000000"/>
                <w:szCs w:val="18"/>
              </w:rPr>
              <w:t>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烧结过程、熔炼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原料成分、转鼓强度、配料、温度、风量、吹氧量等</w:t>
            </w:r>
            <w:r>
              <w:rPr>
                <w:rFonts w:hint="eastAsia"/>
                <w:color w:val="000000"/>
              </w:rPr>
              <w:t>；</w:t>
            </w:r>
            <w:bookmarkStart w:id="5" w:name="_GoBack"/>
            <w:bookmarkEnd w:id="5"/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配料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</w:rPr>
              <w:t>□需要型式检验；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：进行了顾客满意度调查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  <w:lang w:eastAsia="zh-CN"/>
              </w:rPr>
              <w:t>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炼铁炉、炼钢炉、烧结炉、空压机、制氧设备、汽轮机、燃气锅炉等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天平、制样粉碎机、焦炭热强度分析仪、荧光分析仪、熔样炉、自动热量仪、自动测流仪、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压力管道；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锅炉；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钢坯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47.05万吨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年产铁水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176万吨，钢水170万吨，烧结矿305吨，棒材90万吨，线材73万吨，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91130294MA0DB1888M001P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目前环评尚未完成验收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 w:eastAsia="宋体"/>
                <w:color w:val="auto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废水 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</w:t>
            </w:r>
            <w:r>
              <w:rPr>
                <w:rFonts w:hint="eastAsia"/>
                <w:color w:val="000000"/>
                <w:szCs w:val="18"/>
              </w:rPr>
              <w:t xml:space="preserve">水 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废水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消防验收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消防泵房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auto"/>
                <w:szCs w:val="18"/>
              </w:rPr>
              <w:t xml:space="preserve"> </w:t>
            </w:r>
            <w:r>
              <w:rPr>
                <w:rFonts w:ascii="Wingdings" w:hAnsi="Wingdings"/>
                <w:color w:val="auto"/>
                <w:szCs w:val="18"/>
              </w:rPr>
              <w:t>¨</w:t>
            </w:r>
            <w:r>
              <w:rPr>
                <w:rFonts w:hint="eastAsia"/>
                <w:color w:val="auto"/>
                <w:szCs w:val="18"/>
              </w:rPr>
              <w:t>冶金生产安全作业</w:t>
            </w:r>
            <w:r>
              <w:rPr>
                <w:rFonts w:hint="eastAsia"/>
                <w:color w:val="0000FF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auto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eastAsia="zh-CN"/>
              </w:rPr>
              <w:t>煤、焦炭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生产废水不外排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完成检测，尚未出具正式报告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唐人放职健字[2021}03号</w:t>
            </w:r>
            <w:r>
              <w:rPr>
                <w:rFonts w:hint="eastAsia"/>
                <w:color w:val="000000"/>
                <w:szCs w:val="18"/>
              </w:rPr>
              <w:t>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  <w:lang w:eastAsia="zh-CN"/>
              </w:rPr>
              <w:t>（放射工作）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尚未完成消防备案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进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受限空间作业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客运索道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：物体打击、高空坠落、中毒和窒息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  <w:lang w:eastAsia="zh-CN"/>
              </w:rPr>
              <w:t>（废液压油、废油、</w:t>
            </w:r>
            <w:r>
              <w:rPr>
                <w:rFonts w:hint="eastAsia"/>
                <w:color w:val="000000"/>
                <w:lang w:val="en-US" w:eastAsia="zh-CN"/>
              </w:rPr>
              <w:t>SCR催化剂、废活性炭、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CO报警器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氧气含量测定仪  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绝缘地垫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公司总能耗指标完成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47.05万吨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能评的产能：</w:t>
            </w:r>
            <w:r>
              <w:rPr>
                <w:rFonts w:hint="eastAsia"/>
                <w:color w:val="000000"/>
                <w:szCs w:val="18"/>
              </w:rPr>
              <w:t>年产铁水176万吨、钢水170万吨、棒材90万吨、线材73万吨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批复。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批复意见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一、原则同意该项目通过节能(煤炭替代方案)审查。项目建成后，年产铁水176万吨、钢水170万吨、棒材90万吨、线材73万吨，高炉、转炉、棒材和线材工序单位产品能耗分别不高于35928千克标准煤/吨、-30.09千克标准煤/吨、3334千克标准煤/吨、39.66千克标准煤/吨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二、该项目为退城搬迁项目，年综合能源消费量约98.9万吨标准煤(当量值)，其中煤炭消费量327万吨，新增410万吨，由关停天津荣程集团唐山特种钢有限公司耗煤设备(全部年煤炭消费量中的46387吨)和迁安市宏奥工贸有限公司生产线1(全部年煤炭消费量中的24979吨)形成的煤炭削减量71366吨作为替代来源，纳入你市能耗、煤耗总量指标管理之内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无验收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lang w:val="en-US" w:eastAsia="zh-CN"/>
              </w:rPr>
              <w:t>一阶段问题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  <w:lang w:val="en-US" w:eastAsia="zh-CN"/>
              </w:rPr>
              <w:t>一阶段问题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企业2021年投入生产，新装置、新设备、新工艺，未进行技术改造。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焦炭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焦炭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焦炭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能效未测试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功率因素在0.9以上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不存在淘汰落后设备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  <w:highlight w:val="none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主要次级用能单位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sym w:font="Wingdings" w:char="00FE"/>
            </w:r>
            <w:r>
              <w:rPr>
                <w:color w:val="000000"/>
                <w:szCs w:val="18"/>
                <w:highlight w:val="none"/>
              </w:rPr>
              <w:t>符合</w:t>
            </w:r>
            <w:r>
              <w:rPr>
                <w:rFonts w:ascii="Wingdings" w:hAnsi="Wingdings"/>
                <w:color w:val="000000"/>
                <w:szCs w:val="18"/>
                <w:highlight w:val="none"/>
              </w:rPr>
              <w:t>¨</w:t>
            </w:r>
            <w:r>
              <w:rPr>
                <w:color w:val="000000"/>
                <w:szCs w:val="18"/>
                <w:highlight w:val="none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煤，焦炭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贸易结算的计量已检定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地秤等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5B9E55"/>
    <w:multiLevelType w:val="singleLevel"/>
    <w:tmpl w:val="B75B9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1F4B5B0"/>
    <w:multiLevelType w:val="singleLevel"/>
    <w:tmpl w:val="41F4B5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2670EA"/>
    <w:rsid w:val="03FF1741"/>
    <w:rsid w:val="067D2A36"/>
    <w:rsid w:val="06D32400"/>
    <w:rsid w:val="07BA043F"/>
    <w:rsid w:val="07CB0CF1"/>
    <w:rsid w:val="0D4505A4"/>
    <w:rsid w:val="11F662DD"/>
    <w:rsid w:val="12282CC2"/>
    <w:rsid w:val="122D652B"/>
    <w:rsid w:val="14BE3CE1"/>
    <w:rsid w:val="14EB4BAB"/>
    <w:rsid w:val="1537146E"/>
    <w:rsid w:val="161065A9"/>
    <w:rsid w:val="18BF3C55"/>
    <w:rsid w:val="190653E0"/>
    <w:rsid w:val="1A7A6085"/>
    <w:rsid w:val="1A950225"/>
    <w:rsid w:val="1FFA4EF4"/>
    <w:rsid w:val="22274BAC"/>
    <w:rsid w:val="23733FB9"/>
    <w:rsid w:val="23D10344"/>
    <w:rsid w:val="29091A80"/>
    <w:rsid w:val="2BAA2542"/>
    <w:rsid w:val="302A3C52"/>
    <w:rsid w:val="36EA5EE9"/>
    <w:rsid w:val="377D6D5D"/>
    <w:rsid w:val="396A50BF"/>
    <w:rsid w:val="3B562745"/>
    <w:rsid w:val="3DA109BE"/>
    <w:rsid w:val="40267F92"/>
    <w:rsid w:val="406D38D0"/>
    <w:rsid w:val="44BF2CF4"/>
    <w:rsid w:val="488F069E"/>
    <w:rsid w:val="4A0550BC"/>
    <w:rsid w:val="4C4A450A"/>
    <w:rsid w:val="4D491763"/>
    <w:rsid w:val="4DBF7AE7"/>
    <w:rsid w:val="55D941E1"/>
    <w:rsid w:val="56A17F1A"/>
    <w:rsid w:val="5AB34D70"/>
    <w:rsid w:val="5B266C40"/>
    <w:rsid w:val="5B461090"/>
    <w:rsid w:val="5B6F1E20"/>
    <w:rsid w:val="5CC11316"/>
    <w:rsid w:val="5CEE378D"/>
    <w:rsid w:val="60CC2038"/>
    <w:rsid w:val="616109D2"/>
    <w:rsid w:val="64891A26"/>
    <w:rsid w:val="66804024"/>
    <w:rsid w:val="66A54284"/>
    <w:rsid w:val="6C885039"/>
    <w:rsid w:val="6DA92E2D"/>
    <w:rsid w:val="719646C8"/>
    <w:rsid w:val="71A65C9F"/>
    <w:rsid w:val="72ED5B8D"/>
    <w:rsid w:val="742F108D"/>
    <w:rsid w:val="76A809F9"/>
    <w:rsid w:val="785A7427"/>
    <w:rsid w:val="7B98103C"/>
    <w:rsid w:val="7FB87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41"/>
    <w:basedOn w:val="7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2022-07-16T05:47:57Z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