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25DF" w14:textId="77777777" w:rsidR="00C23AF5"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175"/>
        <w:gridCol w:w="10004"/>
        <w:gridCol w:w="1585"/>
      </w:tblGrid>
      <w:tr w:rsidR="00C23AF5" w14:paraId="615AEEDC" w14:textId="77777777">
        <w:trPr>
          <w:trHeight w:val="515"/>
        </w:trPr>
        <w:tc>
          <w:tcPr>
            <w:tcW w:w="1945" w:type="dxa"/>
            <w:vMerge w:val="restart"/>
            <w:vAlign w:val="center"/>
          </w:tcPr>
          <w:p w14:paraId="105EB7F4" w14:textId="77777777" w:rsidR="00C23AF5" w:rsidRDefault="00000000">
            <w:pPr>
              <w:spacing w:before="120"/>
              <w:jc w:val="center"/>
              <w:rPr>
                <w:sz w:val="24"/>
                <w:szCs w:val="24"/>
              </w:rPr>
            </w:pPr>
            <w:r>
              <w:rPr>
                <w:rFonts w:hint="eastAsia"/>
                <w:sz w:val="24"/>
                <w:szCs w:val="24"/>
              </w:rPr>
              <w:t>过程与活动、</w:t>
            </w:r>
          </w:p>
          <w:p w14:paraId="1CC3BA40" w14:textId="77777777" w:rsidR="00C23AF5" w:rsidRDefault="00000000">
            <w:pPr>
              <w:jc w:val="center"/>
            </w:pPr>
            <w:r>
              <w:rPr>
                <w:rFonts w:hint="eastAsia"/>
                <w:sz w:val="24"/>
                <w:szCs w:val="24"/>
              </w:rPr>
              <w:t>抽样计划</w:t>
            </w:r>
          </w:p>
        </w:tc>
        <w:tc>
          <w:tcPr>
            <w:tcW w:w="1175" w:type="dxa"/>
            <w:vMerge w:val="restart"/>
            <w:vAlign w:val="center"/>
          </w:tcPr>
          <w:p w14:paraId="1BCCDBFB" w14:textId="77777777" w:rsidR="00C23AF5" w:rsidRDefault="00000000">
            <w:pPr>
              <w:rPr>
                <w:sz w:val="24"/>
                <w:szCs w:val="24"/>
              </w:rPr>
            </w:pPr>
            <w:r>
              <w:rPr>
                <w:rFonts w:hint="eastAsia"/>
                <w:sz w:val="24"/>
                <w:szCs w:val="24"/>
              </w:rPr>
              <w:t>涉及</w:t>
            </w:r>
          </w:p>
          <w:p w14:paraId="1D1FDE8A" w14:textId="77777777" w:rsidR="00C23AF5" w:rsidRDefault="00000000">
            <w:r>
              <w:rPr>
                <w:rFonts w:hint="eastAsia"/>
                <w:sz w:val="24"/>
                <w:szCs w:val="24"/>
              </w:rPr>
              <w:t>条款</w:t>
            </w:r>
          </w:p>
        </w:tc>
        <w:tc>
          <w:tcPr>
            <w:tcW w:w="10004" w:type="dxa"/>
            <w:vAlign w:val="center"/>
          </w:tcPr>
          <w:p w14:paraId="6AA90A01" w14:textId="77777777" w:rsidR="00C23AF5" w:rsidRDefault="00000000">
            <w:pPr>
              <w:rPr>
                <w:sz w:val="24"/>
                <w:szCs w:val="24"/>
              </w:rPr>
            </w:pPr>
            <w:r>
              <w:rPr>
                <w:rFonts w:hint="eastAsia"/>
                <w:sz w:val="24"/>
                <w:szCs w:val="24"/>
              </w:rPr>
              <w:t>受审核部门：管理层</w:t>
            </w:r>
            <w:r>
              <w:rPr>
                <w:rFonts w:hint="eastAsia"/>
                <w:sz w:val="24"/>
                <w:szCs w:val="24"/>
              </w:rPr>
              <w:t>/</w:t>
            </w:r>
            <w:r>
              <w:rPr>
                <w:rFonts w:hint="eastAsia"/>
                <w:sz w:val="24"/>
                <w:szCs w:val="24"/>
              </w:rPr>
              <w:t>安全事务代表</w:t>
            </w:r>
            <w:r>
              <w:rPr>
                <w:rFonts w:hint="eastAsia"/>
                <w:sz w:val="24"/>
                <w:szCs w:val="24"/>
              </w:rPr>
              <w:t xml:space="preserve"> </w:t>
            </w:r>
            <w:r>
              <w:rPr>
                <w:rFonts w:hint="eastAsia"/>
                <w:sz w:val="24"/>
                <w:szCs w:val="24"/>
              </w:rPr>
              <w:t>：</w:t>
            </w:r>
            <w:r>
              <w:rPr>
                <w:sz w:val="24"/>
                <w:szCs w:val="24"/>
              </w:rPr>
              <w:t>曾祥成</w:t>
            </w:r>
            <w:r>
              <w:rPr>
                <w:rFonts w:hint="eastAsia"/>
                <w:sz w:val="24"/>
                <w:szCs w:val="24"/>
              </w:rPr>
              <w:t>、</w:t>
            </w:r>
            <w:r>
              <w:rPr>
                <w:rFonts w:hint="eastAsia"/>
                <w:sz w:val="24"/>
                <w:szCs w:val="24"/>
              </w:rPr>
              <w:t xml:space="preserve"> </w:t>
            </w:r>
            <w:r>
              <w:rPr>
                <w:szCs w:val="24"/>
              </w:rPr>
              <w:t>万玲玉</w:t>
            </w:r>
            <w:r>
              <w:rPr>
                <w:rFonts w:hint="eastAsia"/>
                <w:sz w:val="24"/>
                <w:szCs w:val="24"/>
              </w:rPr>
              <w:t xml:space="preserve">   </w:t>
            </w:r>
            <w:r>
              <w:rPr>
                <w:rFonts w:hint="eastAsia"/>
                <w:sz w:val="24"/>
                <w:szCs w:val="24"/>
              </w:rPr>
              <w:t>陪同人员：</w:t>
            </w:r>
            <w:r>
              <w:rPr>
                <w:sz w:val="24"/>
                <w:szCs w:val="24"/>
              </w:rPr>
              <w:t>钟蕊</w:t>
            </w:r>
          </w:p>
        </w:tc>
        <w:tc>
          <w:tcPr>
            <w:tcW w:w="1585" w:type="dxa"/>
            <w:vMerge w:val="restart"/>
            <w:vAlign w:val="center"/>
          </w:tcPr>
          <w:p w14:paraId="71F1B934" w14:textId="77777777" w:rsidR="00C23AF5" w:rsidRDefault="00000000">
            <w:pPr>
              <w:rPr>
                <w:sz w:val="24"/>
                <w:szCs w:val="24"/>
              </w:rPr>
            </w:pPr>
            <w:r>
              <w:rPr>
                <w:rFonts w:hint="eastAsia"/>
                <w:sz w:val="24"/>
                <w:szCs w:val="24"/>
              </w:rPr>
              <w:t>判定</w:t>
            </w:r>
          </w:p>
        </w:tc>
      </w:tr>
      <w:tr w:rsidR="00C23AF5" w14:paraId="75C045FB" w14:textId="77777777">
        <w:trPr>
          <w:trHeight w:val="403"/>
        </w:trPr>
        <w:tc>
          <w:tcPr>
            <w:tcW w:w="1945" w:type="dxa"/>
            <w:vMerge/>
            <w:vAlign w:val="center"/>
          </w:tcPr>
          <w:p w14:paraId="788A4835" w14:textId="77777777" w:rsidR="00C23AF5" w:rsidRDefault="00C23AF5"/>
        </w:tc>
        <w:tc>
          <w:tcPr>
            <w:tcW w:w="1175" w:type="dxa"/>
            <w:vMerge/>
            <w:vAlign w:val="center"/>
          </w:tcPr>
          <w:p w14:paraId="6C0114BC" w14:textId="77777777" w:rsidR="00C23AF5" w:rsidRDefault="00C23AF5"/>
        </w:tc>
        <w:tc>
          <w:tcPr>
            <w:tcW w:w="10004" w:type="dxa"/>
            <w:vAlign w:val="center"/>
          </w:tcPr>
          <w:p w14:paraId="00855754" w14:textId="77777777" w:rsidR="00C23AF5" w:rsidRDefault="00000000">
            <w:pPr>
              <w:spacing w:before="120"/>
            </w:pPr>
            <w:r>
              <w:rPr>
                <w:rFonts w:hint="eastAsia"/>
                <w:sz w:val="24"/>
                <w:szCs w:val="24"/>
              </w:rPr>
              <w:t>审核员：伍光华</w:t>
            </w:r>
            <w:r>
              <w:rPr>
                <w:rFonts w:hint="eastAsia"/>
                <w:sz w:val="24"/>
                <w:szCs w:val="24"/>
              </w:rPr>
              <w:t xml:space="preserve">              </w:t>
            </w:r>
            <w:r>
              <w:rPr>
                <w:rFonts w:hint="eastAsia"/>
                <w:sz w:val="24"/>
                <w:szCs w:val="24"/>
              </w:rPr>
              <w:t>审核时间：</w:t>
            </w:r>
            <w:r>
              <w:rPr>
                <w:rFonts w:hint="eastAsia"/>
                <w:sz w:val="24"/>
                <w:szCs w:val="24"/>
              </w:rPr>
              <w:t>2022.7.14</w:t>
            </w:r>
          </w:p>
        </w:tc>
        <w:tc>
          <w:tcPr>
            <w:tcW w:w="1585" w:type="dxa"/>
            <w:vMerge/>
          </w:tcPr>
          <w:p w14:paraId="1673DBB4" w14:textId="77777777" w:rsidR="00C23AF5" w:rsidRDefault="00C23AF5"/>
        </w:tc>
      </w:tr>
      <w:tr w:rsidR="00C23AF5" w14:paraId="279E3CD3" w14:textId="77777777">
        <w:trPr>
          <w:trHeight w:val="516"/>
        </w:trPr>
        <w:tc>
          <w:tcPr>
            <w:tcW w:w="1945" w:type="dxa"/>
            <w:vMerge/>
            <w:vAlign w:val="center"/>
          </w:tcPr>
          <w:p w14:paraId="6C499F5C" w14:textId="77777777" w:rsidR="00C23AF5" w:rsidRDefault="00C23AF5"/>
        </w:tc>
        <w:tc>
          <w:tcPr>
            <w:tcW w:w="1175" w:type="dxa"/>
            <w:vMerge/>
            <w:vAlign w:val="center"/>
          </w:tcPr>
          <w:p w14:paraId="5F7387AD" w14:textId="77777777" w:rsidR="00C23AF5" w:rsidRDefault="00C23AF5"/>
        </w:tc>
        <w:tc>
          <w:tcPr>
            <w:tcW w:w="10004" w:type="dxa"/>
            <w:vAlign w:val="center"/>
          </w:tcPr>
          <w:p w14:paraId="6E28F068" w14:textId="77777777" w:rsidR="00C23AF5" w:rsidRDefault="00000000">
            <w:pPr>
              <w:spacing w:line="360" w:lineRule="auto"/>
              <w:rPr>
                <w:sz w:val="24"/>
                <w:szCs w:val="24"/>
              </w:rPr>
            </w:pPr>
            <w:r>
              <w:rPr>
                <w:rFonts w:hint="eastAsia"/>
                <w:sz w:val="24"/>
                <w:szCs w:val="24"/>
              </w:rPr>
              <w:t>审核条款：</w:t>
            </w:r>
          </w:p>
          <w:p w14:paraId="339BA996" w14:textId="77777777" w:rsidR="00C23AF5" w:rsidRDefault="00000000">
            <w:pPr>
              <w:adjustRightInd w:val="0"/>
              <w:snapToGrid w:val="0"/>
              <w:ind w:rightChars="50" w:right="105"/>
              <w:textAlignment w:val="baseline"/>
              <w:rPr>
                <w:rFonts w:ascii="宋体" w:hAnsi="宋体" w:cs="Arial"/>
                <w:spacing w:val="-6"/>
                <w:szCs w:val="21"/>
              </w:rPr>
            </w:pPr>
            <w:r>
              <w:rPr>
                <w:rFonts w:ascii="宋体" w:hAnsi="宋体" w:cs="Arial" w:hint="eastAsia"/>
                <w:spacing w:val="-6"/>
                <w:sz w:val="24"/>
                <w:szCs w:val="24"/>
              </w:rPr>
              <w:t>Q</w:t>
            </w:r>
            <w:r>
              <w:rPr>
                <w:rFonts w:ascii="宋体" w:hAnsi="宋体" w:cs="Arial" w:hint="eastAsia"/>
                <w:spacing w:val="-6"/>
                <w:szCs w:val="21"/>
              </w:rPr>
              <w:t>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9.3管理评审、10.1改进、10.3持续改进，</w:t>
            </w:r>
          </w:p>
          <w:p w14:paraId="75C5B73B" w14:textId="77777777" w:rsidR="00C23AF5" w:rsidRDefault="00000000">
            <w:pPr>
              <w:adjustRightInd w:val="0"/>
              <w:snapToGrid w:val="0"/>
              <w:ind w:rightChars="50" w:right="105"/>
              <w:textAlignment w:val="baseline"/>
              <w:rPr>
                <w:sz w:val="24"/>
                <w:szCs w:val="24"/>
              </w:rPr>
            </w:pPr>
            <w:r>
              <w:rPr>
                <w:rFonts w:ascii="宋体" w:hAnsi="宋体" w:cs="Arial" w:hint="eastAsia"/>
                <w:spacing w:val="-6"/>
                <w:szCs w:val="21"/>
              </w:rPr>
              <w:t>标准/规范/法规的执行情况、一阶段审核不符合项的验证、投诉或事故、监督抽查情况</w:t>
            </w:r>
          </w:p>
        </w:tc>
        <w:tc>
          <w:tcPr>
            <w:tcW w:w="1585" w:type="dxa"/>
            <w:vMerge/>
          </w:tcPr>
          <w:p w14:paraId="3D13472C" w14:textId="77777777" w:rsidR="00C23AF5" w:rsidRDefault="00C23AF5"/>
        </w:tc>
      </w:tr>
      <w:tr w:rsidR="00C23AF5" w14:paraId="1957E09D" w14:textId="77777777">
        <w:trPr>
          <w:trHeight w:val="1255"/>
        </w:trPr>
        <w:tc>
          <w:tcPr>
            <w:tcW w:w="1945" w:type="dxa"/>
          </w:tcPr>
          <w:p w14:paraId="7C903C52"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14:paraId="4467158B"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p>
        </w:tc>
        <w:tc>
          <w:tcPr>
            <w:tcW w:w="10004" w:type="dxa"/>
          </w:tcPr>
          <w:p w14:paraId="41B243CC" w14:textId="77777777" w:rsidR="00C23AF5" w:rsidRDefault="00000000">
            <w:pPr>
              <w:autoSpaceDE w:val="0"/>
              <w:autoSpaceDN w:val="0"/>
              <w:adjustRightInd w:val="0"/>
              <w:spacing w:line="400" w:lineRule="exact"/>
              <w:ind w:firstLineChars="200" w:firstLine="420"/>
              <w:jc w:val="left"/>
              <w:rPr>
                <w:rFonts w:ascii="宋体" w:cs="宋体"/>
                <w:color w:val="000000"/>
                <w:kern w:val="0"/>
                <w:szCs w:val="21"/>
              </w:rPr>
            </w:pPr>
            <w:r>
              <w:rPr>
                <w:rFonts w:ascii="宋体" w:cs="宋体" w:hint="eastAsia"/>
                <w:color w:val="000000"/>
                <w:kern w:val="0"/>
                <w:szCs w:val="21"/>
              </w:rPr>
              <w:t>赣州市瑞祥照明工程有限公司，成立于2016-04-08，注册资本为2000万人民币，法定代表人为曾祥成，经营状态为存续，工商注册号为360702210049834，注册地址为江西省赣州市章贡区沙河镇黄龙新村天龙山路168号，经营范围包括城市及道路照明工程、电力工程、机电设备安装工程、公路安全设施工程、建筑智能化工程、建筑装饰装修工程、园林绿化工程、消防工程、安防工程、计算机系统集成工程、智慧城市照明工程及亮化工程设计、施工、安装；建筑劳务分包；照明产品节能改造；节能技术服务；灯具、灯杆、电力杆、交通信号灯、照明器材、太阳能电池组件、交通器材、道路交通照明设备、电线电缆、喷泉、雕塑、五金交电、水暖卫浴、金属材料、建筑材料、机械设备、运动器材、体育用品、电子产品、文化用品、日用品、工艺品、纺织品、窗帘布艺、服饰批发与零售（含网上零售）；LED产品、智慧路灯、太阳能系列产品生产销售；软件开发（依法须经批准的项目,经相关部门批准后方可开展经营活动）</w:t>
            </w:r>
          </w:p>
          <w:p w14:paraId="6EDFBBD4"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拥有面积约300余平方米的办公区域。</w:t>
            </w:r>
          </w:p>
          <w:p w14:paraId="1835A23D"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公司设置有行政部、业务部和生产部。</w:t>
            </w:r>
          </w:p>
          <w:p w14:paraId="5C9DB921"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汇总分析市场情况，包括行业发展情况，相关企业产品分析，竞品分析，行业政策跟踪，以保证随时掌握行业及竞争企业的发展动态，为研发及业务拓展提供决策依据；确定与本公司管理目标和战略方向相关</w:t>
            </w:r>
            <w:r>
              <w:rPr>
                <w:rFonts w:ascii="宋体" w:hAnsi="宋体" w:cs="Arial" w:hint="eastAsia"/>
                <w:spacing w:val="-6"/>
                <w:szCs w:val="21"/>
              </w:rPr>
              <w:lastRenderedPageBreak/>
              <w:t>并影响实现管理体系预期结果的各种内部因素（公司的价值观、文化、知识、绩效等相关因素）和外部因素（国际、国家、地区和当地的各种法律法规、技术、竞争、文化和社会因素等），如：</w:t>
            </w:r>
          </w:p>
          <w:p w14:paraId="29D3FEF5"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外部因素——材料价格变动、供应商政策、客户需求的变化、新技术的采用等；；</w:t>
            </w:r>
          </w:p>
          <w:p w14:paraId="44E8B9EC"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2F316010"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这些因素包括了需要考虑的正面和负面因素或条件。</w:t>
            </w:r>
          </w:p>
          <w:p w14:paraId="143F0AAD" w14:textId="77777777" w:rsidR="00C23AF5" w:rsidRDefault="00000000">
            <w:pPr>
              <w:adjustRightInd w:val="0"/>
              <w:snapToGrid w:val="0"/>
              <w:spacing w:line="360" w:lineRule="auto"/>
              <w:ind w:rightChars="50" w:right="105" w:firstLineChars="200" w:firstLine="396"/>
              <w:textAlignment w:val="baseline"/>
            </w:pPr>
            <w:r>
              <w:rPr>
                <w:rFonts w:ascii="宋体" w:hAnsi="宋体" w:cs="Arial" w:hint="eastAsia"/>
                <w:spacing w:val="-6"/>
                <w:szCs w:val="21"/>
              </w:rPr>
              <w:t>公司每年根据从市场、客户、网络等搜集到的信息并结合公司自身业务运作情况进行分析，通过分析对这些内部和外部因素的相关信息进行监视和评审以确保其充分和适宜。</w:t>
            </w:r>
          </w:p>
        </w:tc>
        <w:tc>
          <w:tcPr>
            <w:tcW w:w="1585" w:type="dxa"/>
          </w:tcPr>
          <w:p w14:paraId="51893F8D" w14:textId="77777777" w:rsidR="00C23AF5" w:rsidRDefault="00000000">
            <w:r>
              <w:rPr>
                <w:rFonts w:hint="eastAsia"/>
              </w:rPr>
              <w:lastRenderedPageBreak/>
              <w:t>Y</w:t>
            </w:r>
          </w:p>
        </w:tc>
      </w:tr>
      <w:tr w:rsidR="00C23AF5" w14:paraId="1BC14C2E" w14:textId="77777777">
        <w:trPr>
          <w:trHeight w:val="90"/>
        </w:trPr>
        <w:tc>
          <w:tcPr>
            <w:tcW w:w="1945" w:type="dxa"/>
          </w:tcPr>
          <w:p w14:paraId="5B509916"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理解相关方的需求和期望</w:t>
            </w:r>
          </w:p>
        </w:tc>
        <w:tc>
          <w:tcPr>
            <w:tcW w:w="1175" w:type="dxa"/>
          </w:tcPr>
          <w:p w14:paraId="3E0DC7B8"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QEO:4.2</w:t>
            </w:r>
          </w:p>
        </w:tc>
        <w:tc>
          <w:tcPr>
            <w:tcW w:w="10004" w:type="dxa"/>
          </w:tcPr>
          <w:p w14:paraId="31B3B8CF" w14:textId="77777777" w:rsidR="00C23AF5" w:rsidRDefault="00000000">
            <w:pPr>
              <w:spacing w:line="360" w:lineRule="auto"/>
              <w:ind w:firstLineChars="200" w:firstLine="420"/>
            </w:pPr>
            <w:r>
              <w:rPr>
                <w:rFonts w:hint="eastAsia"/>
              </w:rPr>
              <w:t>公司管理手册中明确了内外部相关方包括：顾客</w:t>
            </w:r>
            <w:r>
              <w:rPr>
                <w:rFonts w:hint="eastAsia"/>
              </w:rPr>
              <w:t>/</w:t>
            </w:r>
            <w:r>
              <w:rPr>
                <w:rFonts w:hint="eastAsia"/>
              </w:rPr>
              <w:t>最终消费者、员工、政府、外部供方、竞争对手、社会相邻单位等；</w:t>
            </w:r>
          </w:p>
          <w:p w14:paraId="56C5A44E" w14:textId="77777777" w:rsidR="00C23AF5" w:rsidRDefault="00000000">
            <w:pPr>
              <w:spacing w:line="360" w:lineRule="auto"/>
              <w:ind w:firstLineChars="200" w:firstLine="420"/>
            </w:pPr>
            <w:r>
              <w:rPr>
                <w:rFonts w:hint="eastAsia"/>
              </w:rPr>
              <w:t>清单中明确了相关方要求与期望、监测指标或项目、监测频率、监测部门等。</w:t>
            </w:r>
          </w:p>
          <w:p w14:paraId="773D2CA2" w14:textId="77777777" w:rsidR="00C23AF5" w:rsidRDefault="00000000">
            <w:pPr>
              <w:spacing w:line="360" w:lineRule="auto"/>
              <w:ind w:firstLineChars="200" w:firstLine="420"/>
            </w:pPr>
            <w:r>
              <w:rPr>
                <w:rFonts w:hint="eastAsia"/>
              </w:rPr>
              <w:t>基本符合。</w:t>
            </w:r>
          </w:p>
        </w:tc>
        <w:tc>
          <w:tcPr>
            <w:tcW w:w="1585" w:type="dxa"/>
          </w:tcPr>
          <w:p w14:paraId="00E63D10" w14:textId="77777777" w:rsidR="00C23AF5" w:rsidRDefault="00000000">
            <w:r>
              <w:rPr>
                <w:rFonts w:hint="eastAsia"/>
              </w:rPr>
              <w:t>Y</w:t>
            </w:r>
          </w:p>
        </w:tc>
      </w:tr>
      <w:tr w:rsidR="00C23AF5" w14:paraId="26DCE48B" w14:textId="77777777">
        <w:trPr>
          <w:trHeight w:val="90"/>
        </w:trPr>
        <w:tc>
          <w:tcPr>
            <w:tcW w:w="1945" w:type="dxa"/>
          </w:tcPr>
          <w:p w14:paraId="6194517C"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应对风险和机遇的措施</w:t>
            </w:r>
          </w:p>
          <w:p w14:paraId="1206E00C"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确定管理体系的范围</w:t>
            </w:r>
          </w:p>
          <w:p w14:paraId="2CCDEE0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质量/环境管理体系及其过程</w:t>
            </w:r>
          </w:p>
          <w:p w14:paraId="73302DF8"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8.3删减合理性</w:t>
            </w:r>
          </w:p>
          <w:p w14:paraId="1A60773C"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变更的策划</w:t>
            </w:r>
          </w:p>
        </w:tc>
        <w:tc>
          <w:tcPr>
            <w:tcW w:w="1175" w:type="dxa"/>
          </w:tcPr>
          <w:p w14:paraId="01CB0142"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QEO:6.1</w:t>
            </w:r>
          </w:p>
          <w:p w14:paraId="63FBE6E3"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4.3</w:t>
            </w:r>
          </w:p>
          <w:p w14:paraId="51D58F39"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4.4</w:t>
            </w:r>
          </w:p>
          <w:p w14:paraId="08E458C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Q:8.3</w:t>
            </w:r>
          </w:p>
          <w:p w14:paraId="3B2D6576"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6.3</w:t>
            </w:r>
          </w:p>
        </w:tc>
        <w:tc>
          <w:tcPr>
            <w:tcW w:w="10004" w:type="dxa"/>
          </w:tcPr>
          <w:p w14:paraId="579A440C"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编制有《风险和机遇的应对控制程序》，对组织内外的风险和机遇进行了策划。</w:t>
            </w:r>
          </w:p>
          <w:p w14:paraId="54315494"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14:paraId="038691E7"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存在的机遇：拉动内需，质量升级改造，对整个家具行业的需求在增大；公司在当地经营多年，有良好的基础，合作伙伴都是大品牌的LED、太阳能制造商，客户信任度高。</w:t>
            </w:r>
          </w:p>
          <w:p w14:paraId="5C98001E"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存在的风险：主要来自竞争对手的竞争，行业入门容易、技术含量低，员工年轻经验不够丰富等；</w:t>
            </w:r>
          </w:p>
          <w:p w14:paraId="4E495763"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重要环境因素：潜在火灾、能源消耗、固废排放等，基本合理。</w:t>
            </w:r>
          </w:p>
          <w:p w14:paraId="6EAA5EA8"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控制措施：一般固废集中收集外售；危废由供应商带回以旧换新；做好火灾预防措施，保持消防器材的完好。</w:t>
            </w:r>
          </w:p>
          <w:p w14:paraId="18FE503D"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制定目标、指标和管理方案。</w:t>
            </w:r>
          </w:p>
          <w:p w14:paraId="6F58FBB7"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不可接受风险有：触电、机械伤害、潜在火灾、交通意外伤害等；</w:t>
            </w:r>
          </w:p>
          <w:p w14:paraId="43BD873A"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控制措施：提高安全意识，做好火灾预防措施，保持消防器材的完好。</w:t>
            </w:r>
          </w:p>
          <w:p w14:paraId="58F99DB3"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制定目标、指标和管理方案。</w:t>
            </w:r>
          </w:p>
          <w:p w14:paraId="7B23CFDD"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为应对上述的风险和机遇，公司依据ISO9001：2015、ISO14001：2015、ISO45001：2018标准的要求并结合本公司的具体情况，采取PDCA的过程方法，建立、实施、保持并持续改进质量、环境、职业健康安全管理体系。</w:t>
            </w:r>
          </w:p>
          <w:p w14:paraId="27EA4A72"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保持《管理手册》A/0版，于2022年3月1日实施；</w:t>
            </w:r>
          </w:p>
          <w:p w14:paraId="6236C650"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保持程序文件27个，版本号：A/0；废弃物控制程序、噪声控制程序、消防控制程序、顾客满意度控制程序、采购控制程序、销售和服务管理控制程序等；</w:t>
            </w:r>
          </w:p>
          <w:p w14:paraId="6A62CF2A"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包装与配送制度、顾客满意度调查制度、客户管理控制、督查督办工作制度、服务补救程序、危机管理制度、产品退换货管理制度、废弃商品处置规定、服务承诺书、顾客信息保密制度、商品召回管理制度、投诉处理制度、危机事件处理规定、员工培训管理制度等；</w:t>
            </w:r>
          </w:p>
          <w:p w14:paraId="6BB271DF"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建立有外来文件清单，收集有</w:t>
            </w:r>
            <w:r>
              <w:rPr>
                <w:rFonts w:hint="eastAsia"/>
                <w:color w:val="000000"/>
                <w:kern w:val="0"/>
                <w:szCs w:val="21"/>
                <w:lang w:bidi="ar"/>
              </w:rPr>
              <w:t xml:space="preserve">GB/T17743-2017  </w:t>
            </w:r>
            <w:r>
              <w:rPr>
                <w:rFonts w:hint="eastAsia"/>
                <w:color w:val="000000"/>
                <w:kern w:val="0"/>
                <w:szCs w:val="21"/>
                <w:lang w:bidi="ar"/>
              </w:rPr>
              <w:t>电器照明和类似设备的无线电骚扰特性的限值和测量方法、</w:t>
            </w:r>
            <w:r>
              <w:rPr>
                <w:rFonts w:ascii="宋体" w:hAnsi="宋体" w:cs="Arial" w:hint="eastAsia"/>
                <w:spacing w:val="-6"/>
                <w:szCs w:val="21"/>
              </w:rPr>
              <w:t>中华人民共和国产品质量法、中华人民共和国环境保护法、中华人民共和国消防法、</w:t>
            </w:r>
            <w:r>
              <w:rPr>
                <w:rFonts w:hint="eastAsia"/>
                <w:color w:val="000000"/>
                <w:kern w:val="0"/>
                <w:szCs w:val="21"/>
                <w:lang w:bidi="ar"/>
              </w:rPr>
              <w:t xml:space="preserve">GB/T17743-2017  </w:t>
            </w:r>
            <w:r>
              <w:rPr>
                <w:rFonts w:hint="eastAsia"/>
                <w:color w:val="000000"/>
                <w:kern w:val="0"/>
                <w:szCs w:val="21"/>
                <w:lang w:bidi="ar"/>
              </w:rPr>
              <w:t>电器照明和类似设备的无线电骚扰特性的限值和测量方法、</w:t>
            </w:r>
            <w:r>
              <w:rPr>
                <w:rFonts w:ascii="宋体" w:hAnsi="宋体" w:hint="eastAsia"/>
                <w:sz w:val="24"/>
              </w:rPr>
              <w:t xml:space="preserve"> GB/T18595-2014  一般照明用设备电磁兼容抗扰度要求、GB7000.1-2015灯具第1部分 一般试验要求、</w:t>
            </w:r>
            <w:r>
              <w:rPr>
                <w:rFonts w:hint="eastAsia"/>
                <w:color w:val="000000"/>
                <w:kern w:val="0"/>
                <w:szCs w:val="21"/>
                <w:lang w:bidi="ar"/>
              </w:rPr>
              <w:t xml:space="preserve">GB/T 24907-2010 </w:t>
            </w:r>
            <w:r>
              <w:rPr>
                <w:rFonts w:hint="eastAsia"/>
                <w:color w:val="000000"/>
                <w:kern w:val="0"/>
                <w:szCs w:val="21"/>
                <w:lang w:bidi="ar"/>
              </w:rPr>
              <w:t>道路照明用</w:t>
            </w:r>
            <w:r>
              <w:rPr>
                <w:rFonts w:hint="eastAsia"/>
                <w:color w:val="000000"/>
                <w:kern w:val="0"/>
                <w:szCs w:val="21"/>
                <w:lang w:bidi="ar"/>
              </w:rPr>
              <w:t>LED</w:t>
            </w:r>
            <w:r>
              <w:rPr>
                <w:rFonts w:hint="eastAsia"/>
                <w:color w:val="000000"/>
                <w:kern w:val="0"/>
                <w:szCs w:val="21"/>
                <w:lang w:bidi="ar"/>
              </w:rPr>
              <w:t>灯性能要求、</w:t>
            </w:r>
            <w:r>
              <w:rPr>
                <w:rFonts w:hint="eastAsia"/>
                <w:color w:val="000000"/>
                <w:kern w:val="0"/>
                <w:szCs w:val="21"/>
                <w:lang w:bidi="ar"/>
              </w:rPr>
              <w:t>QB/T 5039-2017LED</w:t>
            </w:r>
            <w:r>
              <w:rPr>
                <w:rFonts w:hint="eastAsia"/>
                <w:color w:val="000000"/>
                <w:kern w:val="0"/>
                <w:szCs w:val="21"/>
                <w:lang w:bidi="ar"/>
              </w:rPr>
              <w:t>灯具性能测试方法、</w:t>
            </w:r>
            <w:r>
              <w:rPr>
                <w:rFonts w:hint="eastAsia"/>
                <w:color w:val="000000"/>
                <w:kern w:val="0"/>
                <w:szCs w:val="21"/>
                <w:lang w:bidi="ar"/>
              </w:rPr>
              <w:t xml:space="preserve">GB/T 35516-2017 </w:t>
            </w:r>
            <w:r>
              <w:rPr>
                <w:rFonts w:hint="eastAsia"/>
                <w:color w:val="000000"/>
                <w:kern w:val="0"/>
                <w:szCs w:val="21"/>
                <w:lang w:bidi="ar"/>
              </w:rPr>
              <w:t>灯罩用光扩散聚碳酸酯</w:t>
            </w:r>
            <w:r>
              <w:rPr>
                <w:rFonts w:ascii="宋体" w:hAnsi="宋体" w:cs="Arial" w:hint="eastAsia"/>
                <w:spacing w:val="-6"/>
                <w:szCs w:val="21"/>
              </w:rPr>
              <w:t>等；</w:t>
            </w:r>
          </w:p>
          <w:p w14:paraId="37C75C44"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建立适用的法律法规及其他要求一览表，收集质量、环境、职业健康安全相关法律法规、标准、条例、地方性法规等98个，基本符合。</w:t>
            </w:r>
          </w:p>
          <w:p w14:paraId="762B780A"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本公司识别并确定了如下分工及过程：销售过程、采购过程、检验与交付过程、绩效分析、评价与改进等多个过程。</w:t>
            </w:r>
          </w:p>
          <w:p w14:paraId="7CA90194"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业务流程如下：</w:t>
            </w:r>
          </w:p>
          <w:p w14:paraId="7AAE84F8"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产品要求信息获取---产品要求评审----签订合同---采购----质检----销售</w:t>
            </w:r>
          </w:p>
          <w:p w14:paraId="14302831"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管理手册中确定的认证范围：</w:t>
            </w:r>
          </w:p>
          <w:p w14:paraId="16828A4A" w14:textId="77777777" w:rsidR="00C23AF5" w:rsidRPr="00415C0F" w:rsidRDefault="00000000" w:rsidP="00415C0F">
            <w:pPr>
              <w:adjustRightInd w:val="0"/>
              <w:snapToGrid w:val="0"/>
              <w:spacing w:line="360" w:lineRule="auto"/>
              <w:ind w:rightChars="50" w:right="105" w:firstLineChars="200" w:firstLine="396"/>
              <w:textAlignment w:val="baseline"/>
              <w:rPr>
                <w:rFonts w:ascii="宋体" w:hAnsi="宋体" w:cs="Arial"/>
                <w:spacing w:val="-6"/>
                <w:szCs w:val="21"/>
              </w:rPr>
            </w:pPr>
            <w:bookmarkStart w:id="0" w:name="审核范围"/>
            <w:r w:rsidRPr="00415C0F">
              <w:rPr>
                <w:rFonts w:ascii="宋体" w:hAnsi="宋体" w:cs="Arial"/>
                <w:spacing w:val="-6"/>
                <w:szCs w:val="21"/>
              </w:rPr>
              <w:t>Q：LED灯具、太阳能路灯的设计、生产、销售</w:t>
            </w:r>
          </w:p>
          <w:p w14:paraId="28FFEBFC" w14:textId="77777777" w:rsidR="00C23AF5" w:rsidRPr="00415C0F" w:rsidRDefault="00000000" w:rsidP="00415C0F">
            <w:pPr>
              <w:adjustRightInd w:val="0"/>
              <w:snapToGrid w:val="0"/>
              <w:spacing w:line="360" w:lineRule="auto"/>
              <w:ind w:rightChars="50" w:right="105" w:firstLineChars="200" w:firstLine="396"/>
              <w:textAlignment w:val="baseline"/>
              <w:rPr>
                <w:rFonts w:ascii="宋体" w:hAnsi="宋体" w:cs="Arial"/>
                <w:spacing w:val="-6"/>
                <w:szCs w:val="21"/>
              </w:rPr>
            </w:pPr>
            <w:r w:rsidRPr="00415C0F">
              <w:rPr>
                <w:rFonts w:ascii="宋体" w:hAnsi="宋体" w:cs="Arial"/>
                <w:spacing w:val="-6"/>
                <w:szCs w:val="21"/>
              </w:rPr>
              <w:t>E：LED灯具、太阳能路灯的设计、生产、销售所涉及场所的相关环境管理活动</w:t>
            </w:r>
          </w:p>
          <w:p w14:paraId="7D0CF7BD" w14:textId="77777777" w:rsidR="00C23AF5" w:rsidRPr="00415C0F" w:rsidRDefault="00000000" w:rsidP="00415C0F">
            <w:pPr>
              <w:adjustRightInd w:val="0"/>
              <w:snapToGrid w:val="0"/>
              <w:spacing w:line="360" w:lineRule="auto"/>
              <w:ind w:rightChars="50" w:right="105" w:firstLineChars="200" w:firstLine="396"/>
              <w:textAlignment w:val="baseline"/>
              <w:rPr>
                <w:rFonts w:ascii="宋体" w:hAnsi="宋体" w:cs="Arial"/>
                <w:spacing w:val="-6"/>
                <w:szCs w:val="21"/>
              </w:rPr>
            </w:pPr>
            <w:r w:rsidRPr="00415C0F">
              <w:rPr>
                <w:rFonts w:ascii="宋体" w:hAnsi="宋体" w:cs="Arial"/>
                <w:spacing w:val="-6"/>
                <w:szCs w:val="21"/>
              </w:rPr>
              <w:t>O：LED灯具、太阳能路灯的设计、生产、销售所涉及场所的相关职业健康安全管理活动</w:t>
            </w:r>
            <w:bookmarkEnd w:id="0"/>
          </w:p>
          <w:p w14:paraId="232B2863" w14:textId="6314A8C1" w:rsidR="00C23AF5" w:rsidRDefault="00000000" w:rsidP="00415C0F">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w:t>
            </w:r>
            <w:r w:rsidR="00415C0F">
              <w:rPr>
                <w:rFonts w:ascii="宋体" w:hAnsi="宋体" w:cs="Arial" w:hint="eastAsia"/>
                <w:spacing w:val="-6"/>
                <w:szCs w:val="21"/>
              </w:rPr>
              <w:t>无</w:t>
            </w:r>
          </w:p>
          <w:p w14:paraId="49B91509"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管理体系建立以来无变更。</w:t>
            </w:r>
          </w:p>
          <w:p w14:paraId="5C68E783" w14:textId="77777777" w:rsidR="00C23AF5" w:rsidRDefault="00000000">
            <w:pPr>
              <w:adjustRightInd w:val="0"/>
              <w:snapToGrid w:val="0"/>
              <w:spacing w:line="360" w:lineRule="auto"/>
              <w:ind w:rightChars="50" w:right="105" w:firstLineChars="200" w:firstLine="396"/>
              <w:textAlignment w:val="baseline"/>
            </w:pPr>
            <w:r>
              <w:rPr>
                <w:rFonts w:ascii="宋体" w:hAnsi="宋体" w:cs="Arial" w:hint="eastAsia"/>
                <w:spacing w:val="-6"/>
                <w:szCs w:val="21"/>
              </w:rPr>
              <w:t>基本合理。</w:t>
            </w:r>
          </w:p>
        </w:tc>
        <w:tc>
          <w:tcPr>
            <w:tcW w:w="1585" w:type="dxa"/>
          </w:tcPr>
          <w:p w14:paraId="3F868659" w14:textId="77777777" w:rsidR="00C23AF5" w:rsidRDefault="00000000">
            <w:r>
              <w:rPr>
                <w:rFonts w:hint="eastAsia"/>
              </w:rPr>
              <w:lastRenderedPageBreak/>
              <w:t>Y</w:t>
            </w:r>
          </w:p>
        </w:tc>
      </w:tr>
      <w:tr w:rsidR="00C23AF5" w14:paraId="799C6F8E" w14:textId="77777777">
        <w:trPr>
          <w:trHeight w:val="395"/>
        </w:trPr>
        <w:tc>
          <w:tcPr>
            <w:tcW w:w="1945" w:type="dxa"/>
          </w:tcPr>
          <w:p w14:paraId="033864AB"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质量/环境/职业健康方针</w:t>
            </w:r>
          </w:p>
          <w:p w14:paraId="257AA221"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质量/环境/职业健康安全目标及其实现的策划</w:t>
            </w:r>
          </w:p>
        </w:tc>
        <w:tc>
          <w:tcPr>
            <w:tcW w:w="1175" w:type="dxa"/>
          </w:tcPr>
          <w:p w14:paraId="6CAA93B2"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QEO:5.2</w:t>
            </w:r>
          </w:p>
          <w:p w14:paraId="66F0FDFC"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QEO:6.2</w:t>
            </w:r>
          </w:p>
        </w:tc>
        <w:tc>
          <w:tcPr>
            <w:tcW w:w="10004" w:type="dxa"/>
          </w:tcPr>
          <w:p w14:paraId="464CA329" w14:textId="77777777" w:rsidR="00C23AF5" w:rsidRDefault="00000000">
            <w:pPr>
              <w:spacing w:line="360" w:lineRule="auto"/>
              <w:ind w:firstLineChars="200" w:firstLine="420"/>
            </w:pPr>
            <w:r>
              <w:rPr>
                <w:rFonts w:hint="eastAsia"/>
              </w:rPr>
              <w:t>《管理手册》中明确了公司的质量、环境、职业健康安全方针是：</w:t>
            </w:r>
          </w:p>
          <w:p w14:paraId="051C23FB" w14:textId="77777777" w:rsidR="00C23AF5" w:rsidRDefault="00000000">
            <w:pPr>
              <w:spacing w:line="360" w:lineRule="auto"/>
              <w:ind w:firstLineChars="200" w:firstLine="420"/>
              <w:rPr>
                <w:szCs w:val="22"/>
              </w:rPr>
            </w:pPr>
            <w:r>
              <w:rPr>
                <w:rFonts w:hint="eastAsia"/>
                <w:szCs w:val="22"/>
              </w:rPr>
              <w:t>质量环境职业健康安全方针：</w:t>
            </w:r>
          </w:p>
          <w:p w14:paraId="239CFD9F" w14:textId="77777777" w:rsidR="00C23AF5" w:rsidRDefault="00000000">
            <w:pPr>
              <w:spacing w:line="360" w:lineRule="auto"/>
              <w:ind w:firstLineChars="200" w:firstLine="420"/>
              <w:rPr>
                <w:szCs w:val="22"/>
              </w:rPr>
            </w:pPr>
            <w:r>
              <w:rPr>
                <w:rFonts w:hint="eastAsia"/>
                <w:szCs w:val="22"/>
              </w:rPr>
              <w:t>质量至上、持续创新、诚实守信、顾客至上</w:t>
            </w:r>
            <w:r>
              <w:rPr>
                <w:rFonts w:hint="eastAsia"/>
                <w:szCs w:val="22"/>
              </w:rPr>
              <w:t xml:space="preserve"> </w:t>
            </w:r>
          </w:p>
          <w:p w14:paraId="58BA8165" w14:textId="77777777" w:rsidR="00C23AF5" w:rsidRDefault="00000000">
            <w:pPr>
              <w:spacing w:line="360" w:lineRule="auto"/>
              <w:ind w:firstLineChars="200" w:firstLine="420"/>
              <w:rPr>
                <w:szCs w:val="22"/>
              </w:rPr>
            </w:pPr>
            <w:r>
              <w:rPr>
                <w:rFonts w:hint="eastAsia"/>
                <w:szCs w:val="22"/>
              </w:rPr>
              <w:t>预防为主，降低风险；遵章守法，创造和谐</w:t>
            </w:r>
          </w:p>
          <w:p w14:paraId="0602E838" w14:textId="77777777" w:rsidR="00C23AF5" w:rsidRDefault="00000000">
            <w:pPr>
              <w:spacing w:line="360" w:lineRule="auto"/>
              <w:ind w:firstLineChars="200" w:firstLine="420"/>
              <w:rPr>
                <w:szCs w:val="22"/>
              </w:rPr>
            </w:pPr>
            <w:r>
              <w:rPr>
                <w:rFonts w:hint="eastAsia"/>
                <w:szCs w:val="22"/>
              </w:rPr>
              <w:t>方针适宜于公司现状，在管理手册中明确，通过文件发放，使员工获知，适用时提供给相关方。并以方针为框架，建立了公司管理目标：</w:t>
            </w:r>
          </w:p>
          <w:p w14:paraId="38936EBB" w14:textId="77777777" w:rsidR="00C23AF5" w:rsidRDefault="00000000">
            <w:pPr>
              <w:spacing w:line="360" w:lineRule="auto"/>
              <w:ind w:firstLineChars="200" w:firstLine="420"/>
              <w:rPr>
                <w:szCs w:val="22"/>
              </w:rPr>
            </w:pPr>
            <w:r>
              <w:rPr>
                <w:rFonts w:hint="eastAsia"/>
                <w:szCs w:val="22"/>
              </w:rPr>
              <w:t>质量目标：</w:t>
            </w:r>
            <w:r>
              <w:rPr>
                <w:rFonts w:hint="eastAsia"/>
                <w:szCs w:val="22"/>
              </w:rPr>
              <w:t>1</w:t>
            </w:r>
            <w:r>
              <w:rPr>
                <w:rFonts w:hint="eastAsia"/>
                <w:szCs w:val="22"/>
              </w:rPr>
              <w:t>、交货及时率≥</w:t>
            </w:r>
            <w:r>
              <w:rPr>
                <w:rFonts w:hint="eastAsia"/>
                <w:szCs w:val="22"/>
              </w:rPr>
              <w:t>98%</w:t>
            </w:r>
            <w:r>
              <w:rPr>
                <w:rFonts w:hint="eastAsia"/>
                <w:szCs w:val="22"/>
              </w:rPr>
              <w:t>；</w:t>
            </w:r>
          </w:p>
          <w:p w14:paraId="0B0BD33B" w14:textId="77777777" w:rsidR="00C23AF5" w:rsidRDefault="00000000">
            <w:pPr>
              <w:spacing w:line="360" w:lineRule="auto"/>
              <w:ind w:firstLineChars="200" w:firstLine="420"/>
              <w:rPr>
                <w:szCs w:val="22"/>
              </w:rPr>
            </w:pPr>
            <w:r>
              <w:rPr>
                <w:rFonts w:hint="eastAsia"/>
                <w:szCs w:val="22"/>
              </w:rPr>
              <w:t>2</w:t>
            </w:r>
            <w:r>
              <w:rPr>
                <w:rFonts w:hint="eastAsia"/>
                <w:szCs w:val="22"/>
              </w:rPr>
              <w:t>、顾客满意度≥</w:t>
            </w:r>
            <w:r>
              <w:rPr>
                <w:rFonts w:hint="eastAsia"/>
                <w:szCs w:val="22"/>
              </w:rPr>
              <w:t>96</w:t>
            </w:r>
            <w:r>
              <w:rPr>
                <w:rFonts w:hint="eastAsia"/>
                <w:szCs w:val="22"/>
              </w:rPr>
              <w:t>分；</w:t>
            </w:r>
          </w:p>
          <w:p w14:paraId="5FB322FF" w14:textId="77777777" w:rsidR="00C23AF5" w:rsidRDefault="00000000">
            <w:pPr>
              <w:spacing w:line="360" w:lineRule="auto"/>
              <w:ind w:firstLineChars="200" w:firstLine="420"/>
              <w:rPr>
                <w:szCs w:val="22"/>
              </w:rPr>
            </w:pPr>
            <w:r>
              <w:rPr>
                <w:rFonts w:hint="eastAsia"/>
                <w:szCs w:val="22"/>
              </w:rPr>
              <w:t>环境、职业健康安全目标：</w:t>
            </w:r>
          </w:p>
          <w:p w14:paraId="7652830D" w14:textId="77777777" w:rsidR="00C23AF5" w:rsidRDefault="00000000">
            <w:pPr>
              <w:spacing w:line="360" w:lineRule="auto"/>
              <w:ind w:firstLineChars="200" w:firstLine="420"/>
              <w:rPr>
                <w:szCs w:val="22"/>
              </w:rPr>
            </w:pPr>
            <w:r>
              <w:rPr>
                <w:rFonts w:hint="eastAsia"/>
                <w:szCs w:val="22"/>
              </w:rPr>
              <w:t>火灾、触电机械事故为</w:t>
            </w:r>
            <w:r>
              <w:rPr>
                <w:rFonts w:hint="eastAsia"/>
                <w:szCs w:val="22"/>
              </w:rPr>
              <w:t>0</w:t>
            </w:r>
          </w:p>
          <w:p w14:paraId="567A7192" w14:textId="77777777" w:rsidR="00C23AF5" w:rsidRDefault="00000000">
            <w:pPr>
              <w:spacing w:line="360" w:lineRule="auto"/>
              <w:ind w:firstLineChars="700" w:firstLine="1470"/>
              <w:rPr>
                <w:szCs w:val="22"/>
              </w:rPr>
            </w:pPr>
            <w:r>
              <w:rPr>
                <w:rFonts w:hint="eastAsia"/>
                <w:szCs w:val="22"/>
              </w:rPr>
              <w:t>固体废弃物分类处置率</w:t>
            </w:r>
            <w:r>
              <w:rPr>
                <w:rFonts w:hint="eastAsia"/>
                <w:szCs w:val="22"/>
              </w:rPr>
              <w:t>100%</w:t>
            </w:r>
          </w:p>
          <w:p w14:paraId="3263E4F4" w14:textId="77777777" w:rsidR="00C23AF5" w:rsidRDefault="00000000">
            <w:pPr>
              <w:spacing w:line="360" w:lineRule="auto"/>
              <w:ind w:firstLineChars="700" w:firstLine="1470"/>
              <w:rPr>
                <w:szCs w:val="22"/>
              </w:rPr>
            </w:pPr>
            <w:r>
              <w:rPr>
                <w:rFonts w:hint="eastAsia"/>
                <w:szCs w:val="22"/>
              </w:rPr>
              <w:t>职业病生率为</w:t>
            </w:r>
            <w:r>
              <w:rPr>
                <w:rFonts w:hint="eastAsia"/>
                <w:szCs w:val="22"/>
              </w:rPr>
              <w:t>0</w:t>
            </w:r>
          </w:p>
          <w:p w14:paraId="3D53223B" w14:textId="77777777" w:rsidR="00C23AF5" w:rsidRDefault="00000000">
            <w:pPr>
              <w:spacing w:line="360" w:lineRule="auto"/>
              <w:ind w:firstLineChars="200" w:firstLine="420"/>
              <w:rPr>
                <w:szCs w:val="22"/>
              </w:rPr>
            </w:pPr>
            <w:r>
              <w:rPr>
                <w:rFonts w:hint="eastAsia"/>
                <w:szCs w:val="22"/>
              </w:rPr>
              <w:lastRenderedPageBreak/>
              <w:t>保留有</w:t>
            </w:r>
            <w:r>
              <w:rPr>
                <w:szCs w:val="22"/>
              </w:rPr>
              <w:t>公司的环境和安全管理方案和控制措施。基本符合。</w:t>
            </w:r>
          </w:p>
          <w:p w14:paraId="3955171D" w14:textId="4C693E1B" w:rsidR="00C23AF5" w:rsidRDefault="00000000">
            <w:pPr>
              <w:spacing w:line="360" w:lineRule="auto"/>
              <w:ind w:firstLineChars="200" w:firstLine="396"/>
            </w:pPr>
            <w:r>
              <w:rPr>
                <w:rFonts w:ascii="宋体" w:hAnsi="宋体" w:cs="Arial" w:hint="eastAsia"/>
                <w:spacing w:val="-6"/>
                <w:szCs w:val="21"/>
              </w:rPr>
              <w:t>保留“</w:t>
            </w:r>
            <w:r>
              <w:rPr>
                <w:rFonts w:ascii="宋体" w:hAnsi="宋体" w:cs="Arial"/>
                <w:spacing w:val="-6"/>
                <w:szCs w:val="21"/>
              </w:rPr>
              <w:t>质量\环境\职业健康安全目标分解考核表</w:t>
            </w:r>
            <w:r>
              <w:rPr>
                <w:rFonts w:ascii="宋体" w:hAnsi="宋体" w:cs="Arial" w:hint="eastAsia"/>
                <w:spacing w:val="-6"/>
                <w:szCs w:val="21"/>
              </w:rPr>
              <w:t>”，</w:t>
            </w:r>
            <w:r>
              <w:rPr>
                <w:rFonts w:ascii="宋体" w:hAnsi="宋体" w:cs="Arial"/>
                <w:spacing w:val="-6"/>
                <w:szCs w:val="21"/>
              </w:rPr>
              <w:t>202</w:t>
            </w:r>
            <w:r>
              <w:rPr>
                <w:rFonts w:ascii="宋体" w:hAnsi="宋体" w:cs="Arial" w:hint="eastAsia"/>
                <w:spacing w:val="-6"/>
                <w:szCs w:val="21"/>
              </w:rPr>
              <w:t>2</w:t>
            </w:r>
            <w:r>
              <w:rPr>
                <w:rFonts w:ascii="宋体" w:hAnsi="宋体" w:cs="Arial"/>
                <w:spacing w:val="-6"/>
                <w:szCs w:val="21"/>
              </w:rPr>
              <w:t>年</w:t>
            </w:r>
            <w:r w:rsidR="00415C0F">
              <w:rPr>
                <w:rFonts w:ascii="宋体" w:hAnsi="宋体" w:cs="Arial"/>
                <w:spacing w:val="-6"/>
                <w:szCs w:val="21"/>
              </w:rPr>
              <w:t>4</w:t>
            </w:r>
            <w:r>
              <w:rPr>
                <w:rFonts w:ascii="宋体" w:hAnsi="宋体" w:cs="Arial" w:hint="eastAsia"/>
                <w:spacing w:val="-6"/>
                <w:szCs w:val="21"/>
              </w:rPr>
              <w:t>-</w:t>
            </w:r>
            <w:r w:rsidR="00415C0F">
              <w:rPr>
                <w:rFonts w:ascii="宋体" w:hAnsi="宋体" w:cs="Arial"/>
                <w:spacing w:val="-6"/>
                <w:szCs w:val="21"/>
              </w:rPr>
              <w:t>6</w:t>
            </w:r>
            <w:r>
              <w:rPr>
                <w:rFonts w:ascii="宋体" w:hAnsi="宋体" w:cs="Arial" w:hint="eastAsia"/>
                <w:spacing w:val="-6"/>
                <w:szCs w:val="21"/>
              </w:rPr>
              <w:t>月</w:t>
            </w:r>
            <w:r>
              <w:rPr>
                <w:rFonts w:ascii="宋体" w:hAnsi="宋体" w:cs="Arial"/>
                <w:spacing w:val="-6"/>
                <w:szCs w:val="21"/>
              </w:rPr>
              <w:t>所有目标均已完成。</w:t>
            </w:r>
          </w:p>
        </w:tc>
        <w:tc>
          <w:tcPr>
            <w:tcW w:w="1585" w:type="dxa"/>
          </w:tcPr>
          <w:p w14:paraId="106479AC" w14:textId="77777777" w:rsidR="00C23AF5" w:rsidRDefault="00000000">
            <w:r>
              <w:rPr>
                <w:rFonts w:hint="eastAsia"/>
              </w:rPr>
              <w:lastRenderedPageBreak/>
              <w:t>Y</w:t>
            </w:r>
          </w:p>
        </w:tc>
      </w:tr>
      <w:tr w:rsidR="00C23AF5" w14:paraId="1022C94C" w14:textId="77777777">
        <w:trPr>
          <w:trHeight w:val="90"/>
        </w:trPr>
        <w:tc>
          <w:tcPr>
            <w:tcW w:w="1945" w:type="dxa"/>
          </w:tcPr>
          <w:p w14:paraId="0170A402"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组织的岗位、职责和权限</w:t>
            </w:r>
          </w:p>
        </w:tc>
        <w:tc>
          <w:tcPr>
            <w:tcW w:w="1175" w:type="dxa"/>
          </w:tcPr>
          <w:p w14:paraId="5950994C" w14:textId="77777777" w:rsidR="00C23AF5"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QEO:5.1</w:t>
            </w:r>
          </w:p>
          <w:p w14:paraId="0415D7C6" w14:textId="77777777" w:rsidR="00C23AF5"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004" w:type="dxa"/>
          </w:tcPr>
          <w:p w14:paraId="550379BB"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最高管理者在管理手册中明确了各部门和各岗位的职责和权限，以确保管理体系符合各项标准的要求，并确保各个过程获得其预期输出。</w:t>
            </w:r>
          </w:p>
          <w:p w14:paraId="0161DA9F"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220CB784"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公司设置有行政部、业务部、生产部。</w:t>
            </w:r>
          </w:p>
          <w:p w14:paraId="5CE90DCE"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经查每个部门均有部门职责和权限，各岗位的职责和权限、任职要求在《管理手册》中得到规定。</w:t>
            </w:r>
          </w:p>
          <w:p w14:paraId="73C38EC8" w14:textId="77777777" w:rsidR="00C23AF5" w:rsidRDefault="00000000">
            <w:pPr>
              <w:adjustRightInd w:val="0"/>
              <w:snapToGrid w:val="0"/>
              <w:spacing w:line="360" w:lineRule="auto"/>
              <w:ind w:rightChars="50" w:right="105" w:firstLineChars="200" w:firstLine="396"/>
              <w:textAlignment w:val="baseline"/>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585" w:type="dxa"/>
          </w:tcPr>
          <w:p w14:paraId="3049893D" w14:textId="77777777" w:rsidR="00C23AF5" w:rsidRDefault="00000000">
            <w:r>
              <w:rPr>
                <w:rFonts w:hint="eastAsia"/>
              </w:rPr>
              <w:t>Y</w:t>
            </w:r>
          </w:p>
        </w:tc>
      </w:tr>
      <w:tr w:rsidR="00C23AF5" w14:paraId="7936C315" w14:textId="77777777">
        <w:trPr>
          <w:trHeight w:val="1485"/>
        </w:trPr>
        <w:tc>
          <w:tcPr>
            <w:tcW w:w="1945" w:type="dxa"/>
          </w:tcPr>
          <w:p w14:paraId="21911DD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协商与参与</w:t>
            </w:r>
          </w:p>
        </w:tc>
        <w:tc>
          <w:tcPr>
            <w:tcW w:w="1175" w:type="dxa"/>
          </w:tcPr>
          <w:p w14:paraId="573166B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O:5.4</w:t>
            </w:r>
          </w:p>
        </w:tc>
        <w:tc>
          <w:tcPr>
            <w:tcW w:w="10004" w:type="dxa"/>
          </w:tcPr>
          <w:p w14:paraId="1D3D5BA3"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Pr>
                <w:rFonts w:ascii="宋体" w:hAnsi="宋体" w:hint="eastAsia"/>
                <w:szCs w:val="21"/>
              </w:rPr>
              <w:t>万玲玉</w:t>
            </w:r>
            <w:r>
              <w:rPr>
                <w:rFonts w:ascii="宋体" w:hAnsi="宋体" w:cs="Arial" w:hint="eastAsia"/>
                <w:spacing w:val="-6"/>
                <w:szCs w:val="21"/>
              </w:rPr>
              <w:t>，</w:t>
            </w:r>
          </w:p>
          <w:p w14:paraId="55F12CB1"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a）负责员工职业健康安全日常工作；</w:t>
            </w:r>
          </w:p>
          <w:p w14:paraId="204C7026"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b）负责召开讨论有关工资、福利、劳动安全卫生、社会保险等涉及职工切身利益的会议，代表员工反映员工的建议和意见；</w:t>
            </w:r>
          </w:p>
          <w:p w14:paraId="2F772039"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c）接收、处理外部职业健康安全信息；</w:t>
            </w:r>
          </w:p>
          <w:p w14:paraId="081BE9F3"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d）交流各级职能部门间产生的职业健康安全信息；</w:t>
            </w:r>
          </w:p>
          <w:p w14:paraId="31EACE71"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e）收集、处理和反馈员工所关心的职业健康安全问题；</w:t>
            </w:r>
          </w:p>
          <w:p w14:paraId="17FEA39D"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f）参与职业健康安全工作方针和程序的制定、评审和实施；</w:t>
            </w:r>
          </w:p>
          <w:p w14:paraId="1ED77A5B"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g）参与影响作业场所人员职业健康安全的任何变化的讨论。</w:t>
            </w:r>
          </w:p>
          <w:p w14:paraId="4B7DB100" w14:textId="77777777" w:rsidR="00C23AF5" w:rsidRDefault="00000000">
            <w:pPr>
              <w:adjustRightInd w:val="0"/>
              <w:snapToGrid w:val="0"/>
              <w:spacing w:line="360" w:lineRule="auto"/>
              <w:ind w:rightChars="50" w:right="105" w:firstLineChars="200" w:firstLine="396"/>
              <w:textAlignment w:val="baseline"/>
            </w:pPr>
            <w:r>
              <w:rPr>
                <w:rFonts w:ascii="宋体" w:hAnsi="宋体" w:cs="Arial" w:hint="eastAsia"/>
                <w:spacing w:val="-6"/>
                <w:szCs w:val="21"/>
              </w:rPr>
              <w:lastRenderedPageBreak/>
              <w:t>现有的沟通渠道和方法能满足要求。</w:t>
            </w:r>
          </w:p>
        </w:tc>
        <w:tc>
          <w:tcPr>
            <w:tcW w:w="1585" w:type="dxa"/>
          </w:tcPr>
          <w:p w14:paraId="2FFC32D4" w14:textId="77777777" w:rsidR="00C23AF5" w:rsidRDefault="00000000">
            <w:r>
              <w:rPr>
                <w:rFonts w:hint="eastAsia"/>
              </w:rPr>
              <w:lastRenderedPageBreak/>
              <w:t>Y</w:t>
            </w:r>
          </w:p>
        </w:tc>
      </w:tr>
      <w:tr w:rsidR="00C23AF5" w14:paraId="6FBC9BEC" w14:textId="77777777">
        <w:trPr>
          <w:trHeight w:val="90"/>
        </w:trPr>
        <w:tc>
          <w:tcPr>
            <w:tcW w:w="1945" w:type="dxa"/>
          </w:tcPr>
          <w:p w14:paraId="44E6F53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管理评审</w:t>
            </w:r>
          </w:p>
        </w:tc>
        <w:tc>
          <w:tcPr>
            <w:tcW w:w="1175" w:type="dxa"/>
          </w:tcPr>
          <w:p w14:paraId="6B591651"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QEO:9.3</w:t>
            </w:r>
          </w:p>
        </w:tc>
        <w:tc>
          <w:tcPr>
            <w:tcW w:w="10004" w:type="dxa"/>
          </w:tcPr>
          <w:p w14:paraId="53BA0022"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2022年6月22日在会议室总经理张玖忠主持了管理评审。保留有管理评审计划、管理评审会议通知、评审记录、评审报告和改进措施计划等；</w:t>
            </w:r>
          </w:p>
          <w:p w14:paraId="21A408F9"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14:paraId="2CF8EC29"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14:paraId="6488A11B"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改进措施建议：2项，包括进一步组织对标准、《管理手册》、《程序文件》、法律、法规、规程和规范的学习的和培训。</w:t>
            </w:r>
          </w:p>
          <w:p w14:paraId="68997C32"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保留有“管理评审改进措施计划”。</w:t>
            </w:r>
          </w:p>
        </w:tc>
        <w:tc>
          <w:tcPr>
            <w:tcW w:w="1585" w:type="dxa"/>
          </w:tcPr>
          <w:p w14:paraId="633E7FE0" w14:textId="77777777" w:rsidR="00C23AF5" w:rsidRDefault="00000000">
            <w:r>
              <w:rPr>
                <w:rFonts w:hint="eastAsia"/>
              </w:rPr>
              <w:t>Y</w:t>
            </w:r>
          </w:p>
        </w:tc>
      </w:tr>
      <w:tr w:rsidR="00C23AF5" w14:paraId="7DAEFA83" w14:textId="77777777">
        <w:trPr>
          <w:trHeight w:val="90"/>
        </w:trPr>
        <w:tc>
          <w:tcPr>
            <w:tcW w:w="1945" w:type="dxa"/>
          </w:tcPr>
          <w:p w14:paraId="31B6ADFD"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14:paraId="483D8320"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14:paraId="7ADC2FA6"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QEO:10.1</w:t>
            </w:r>
          </w:p>
          <w:p w14:paraId="6C1CE904" w14:textId="77777777" w:rsidR="00C23AF5"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10.3</w:t>
            </w:r>
          </w:p>
        </w:tc>
        <w:tc>
          <w:tcPr>
            <w:tcW w:w="10004" w:type="dxa"/>
          </w:tcPr>
          <w:p w14:paraId="2C242615" w14:textId="77777777" w:rsidR="00C23AF5"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14:paraId="01D5AF33" w14:textId="77777777" w:rsidR="00C23AF5" w:rsidRDefault="00000000">
            <w:r>
              <w:rPr>
                <w:rFonts w:hint="eastAsia"/>
              </w:rPr>
              <w:t>Y</w:t>
            </w:r>
          </w:p>
        </w:tc>
      </w:tr>
      <w:tr w:rsidR="00C23AF5" w14:paraId="6D077198" w14:textId="77777777">
        <w:trPr>
          <w:trHeight w:val="567"/>
        </w:trPr>
        <w:tc>
          <w:tcPr>
            <w:tcW w:w="1945" w:type="dxa"/>
            <w:vAlign w:val="center"/>
          </w:tcPr>
          <w:p w14:paraId="3CCD5C44" w14:textId="77777777" w:rsidR="00C23AF5" w:rsidRDefault="00000000">
            <w:pPr>
              <w:rPr>
                <w:rFonts w:ascii="宋体" w:hAnsi="宋体" w:cs="Arial"/>
                <w:spacing w:val="-6"/>
                <w:szCs w:val="21"/>
              </w:rPr>
            </w:pPr>
            <w:r>
              <w:rPr>
                <w:rFonts w:hAnsi="宋体" w:hint="eastAsia"/>
                <w:szCs w:val="21"/>
              </w:rPr>
              <w:t>标准</w:t>
            </w:r>
            <w:r>
              <w:rPr>
                <w:rFonts w:hAnsi="宋体" w:hint="eastAsia"/>
                <w:szCs w:val="21"/>
              </w:rPr>
              <w:t>/</w:t>
            </w:r>
            <w:r>
              <w:rPr>
                <w:rFonts w:hAnsi="宋体" w:hint="eastAsia"/>
                <w:szCs w:val="21"/>
              </w:rPr>
              <w:t>规范</w:t>
            </w:r>
            <w:r>
              <w:rPr>
                <w:rFonts w:hAnsi="宋体" w:hint="eastAsia"/>
                <w:szCs w:val="21"/>
              </w:rPr>
              <w:t>/</w:t>
            </w:r>
            <w:r>
              <w:rPr>
                <w:rFonts w:hAnsi="宋体" w:hint="eastAsia"/>
                <w:szCs w:val="21"/>
              </w:rPr>
              <w:t>法规的执行情况</w:t>
            </w:r>
          </w:p>
        </w:tc>
        <w:tc>
          <w:tcPr>
            <w:tcW w:w="1175" w:type="dxa"/>
            <w:vAlign w:val="center"/>
          </w:tcPr>
          <w:p w14:paraId="2D598408" w14:textId="77777777" w:rsidR="00C23AF5" w:rsidRDefault="00C23AF5">
            <w:pPr>
              <w:rPr>
                <w:rFonts w:ascii="宋体" w:hAnsi="宋体" w:cs="Arial"/>
                <w:spacing w:val="-6"/>
                <w:szCs w:val="21"/>
              </w:rPr>
            </w:pPr>
          </w:p>
        </w:tc>
        <w:tc>
          <w:tcPr>
            <w:tcW w:w="10004" w:type="dxa"/>
            <w:vAlign w:val="center"/>
          </w:tcPr>
          <w:p w14:paraId="5E2AECE3" w14:textId="77777777" w:rsidR="00C23AF5" w:rsidRDefault="00000000">
            <w:pPr>
              <w:pStyle w:val="a8"/>
              <w:pBdr>
                <w:bottom w:val="none" w:sz="0" w:space="0" w:color="auto"/>
              </w:pBdr>
              <w:tabs>
                <w:tab w:val="clear" w:pos="4153"/>
                <w:tab w:val="center" w:pos="5737"/>
              </w:tabs>
              <w:spacing w:beforeLines="20" w:before="62" w:afterLines="20" w:after="62"/>
              <w:ind w:firstLineChars="200" w:firstLine="420"/>
              <w:jc w:val="left"/>
              <w:rPr>
                <w:rFonts w:hAnsi="宋体"/>
                <w:color w:val="000000"/>
                <w:sz w:val="21"/>
                <w:szCs w:val="21"/>
              </w:rPr>
            </w:pPr>
            <w:r>
              <w:rPr>
                <w:rFonts w:hint="eastAsia"/>
                <w:color w:val="000000"/>
                <w:sz w:val="21"/>
                <w:szCs w:val="21"/>
              </w:rPr>
              <w:t>未发生重大质量事故、安全事故、准守法律法规要求。</w:t>
            </w:r>
          </w:p>
          <w:p w14:paraId="2FCEB355" w14:textId="77777777" w:rsidR="00C23AF5" w:rsidRDefault="00C23AF5">
            <w:pPr>
              <w:snapToGrid w:val="0"/>
              <w:ind w:firstLineChars="200" w:firstLine="420"/>
              <w:rPr>
                <w:szCs w:val="21"/>
              </w:rPr>
            </w:pPr>
          </w:p>
        </w:tc>
        <w:tc>
          <w:tcPr>
            <w:tcW w:w="1585" w:type="dxa"/>
          </w:tcPr>
          <w:p w14:paraId="27C288D1" w14:textId="77777777" w:rsidR="00C23AF5" w:rsidRDefault="00000000">
            <w:pPr>
              <w:rPr>
                <w:szCs w:val="21"/>
              </w:rPr>
            </w:pPr>
            <w:r>
              <w:rPr>
                <w:rFonts w:eastAsiaTheme="minorEastAsia" w:hint="eastAsia"/>
                <w:szCs w:val="21"/>
              </w:rPr>
              <w:t>Y</w:t>
            </w:r>
          </w:p>
        </w:tc>
      </w:tr>
      <w:tr w:rsidR="00C23AF5" w14:paraId="3EC1FEA3" w14:textId="77777777">
        <w:trPr>
          <w:trHeight w:val="193"/>
        </w:trPr>
        <w:tc>
          <w:tcPr>
            <w:tcW w:w="1945" w:type="dxa"/>
            <w:vAlign w:val="center"/>
          </w:tcPr>
          <w:p w14:paraId="519DD2D9" w14:textId="77777777" w:rsidR="00C23AF5" w:rsidRDefault="00000000">
            <w:pPr>
              <w:rPr>
                <w:rFonts w:ascii="宋体" w:hAnsi="宋体" w:cs="Arial"/>
                <w:spacing w:val="-6"/>
                <w:szCs w:val="21"/>
              </w:rPr>
            </w:pPr>
            <w:r>
              <w:rPr>
                <w:rFonts w:hAnsi="宋体" w:hint="eastAsia"/>
                <w:szCs w:val="21"/>
              </w:rPr>
              <w:t>一阶段审核不符合项的验证</w:t>
            </w:r>
          </w:p>
        </w:tc>
        <w:tc>
          <w:tcPr>
            <w:tcW w:w="1175" w:type="dxa"/>
            <w:vAlign w:val="center"/>
          </w:tcPr>
          <w:p w14:paraId="2EAEA7C6" w14:textId="77777777" w:rsidR="00C23AF5" w:rsidRDefault="00C23AF5">
            <w:pPr>
              <w:rPr>
                <w:rFonts w:ascii="宋体" w:hAnsi="宋体" w:cs="Arial"/>
                <w:spacing w:val="-6"/>
                <w:szCs w:val="21"/>
              </w:rPr>
            </w:pPr>
          </w:p>
        </w:tc>
        <w:tc>
          <w:tcPr>
            <w:tcW w:w="10004" w:type="dxa"/>
            <w:vAlign w:val="center"/>
          </w:tcPr>
          <w:p w14:paraId="7885013B" w14:textId="7C806101" w:rsidR="00C23AF5" w:rsidRDefault="00000000" w:rsidP="00415C0F">
            <w:pPr>
              <w:pStyle w:val="a8"/>
              <w:pBdr>
                <w:bottom w:val="none" w:sz="0" w:space="0" w:color="auto"/>
              </w:pBdr>
              <w:tabs>
                <w:tab w:val="clear" w:pos="4153"/>
                <w:tab w:val="center" w:pos="5737"/>
              </w:tabs>
              <w:spacing w:beforeLines="20" w:before="62" w:afterLines="20" w:after="62"/>
              <w:ind w:firstLineChars="200" w:firstLine="420"/>
              <w:jc w:val="left"/>
              <w:rPr>
                <w:szCs w:val="21"/>
              </w:rPr>
            </w:pPr>
            <w:r>
              <w:rPr>
                <w:rFonts w:hint="eastAsia"/>
                <w:color w:val="000000"/>
                <w:sz w:val="21"/>
                <w:szCs w:val="21"/>
              </w:rPr>
              <w:t>一阶段审核发现的问题，已经整改，符合要求。</w:t>
            </w:r>
          </w:p>
        </w:tc>
        <w:tc>
          <w:tcPr>
            <w:tcW w:w="1585" w:type="dxa"/>
          </w:tcPr>
          <w:p w14:paraId="218D249A" w14:textId="77777777" w:rsidR="00C23AF5" w:rsidRDefault="00000000">
            <w:pPr>
              <w:rPr>
                <w:szCs w:val="21"/>
              </w:rPr>
            </w:pPr>
            <w:r>
              <w:rPr>
                <w:rFonts w:eastAsiaTheme="minorEastAsia" w:hint="eastAsia"/>
                <w:szCs w:val="21"/>
              </w:rPr>
              <w:t>Y</w:t>
            </w:r>
          </w:p>
        </w:tc>
      </w:tr>
      <w:tr w:rsidR="00C23AF5" w14:paraId="61C5F78E" w14:textId="77777777">
        <w:trPr>
          <w:trHeight w:val="90"/>
        </w:trPr>
        <w:tc>
          <w:tcPr>
            <w:tcW w:w="1945" w:type="dxa"/>
            <w:vAlign w:val="center"/>
          </w:tcPr>
          <w:p w14:paraId="33529320" w14:textId="77777777" w:rsidR="00C23AF5" w:rsidRDefault="00000000">
            <w:pPr>
              <w:rPr>
                <w:rFonts w:ascii="宋体" w:hAnsi="宋体" w:cs="Arial"/>
                <w:spacing w:val="-6"/>
                <w:szCs w:val="21"/>
              </w:rPr>
            </w:pPr>
            <w:r>
              <w:rPr>
                <w:rFonts w:hAnsi="宋体" w:hint="eastAsia"/>
                <w:szCs w:val="21"/>
              </w:rPr>
              <w:t>投诉或事故、监督抽查情况、</w:t>
            </w:r>
          </w:p>
        </w:tc>
        <w:tc>
          <w:tcPr>
            <w:tcW w:w="1175" w:type="dxa"/>
            <w:vAlign w:val="center"/>
          </w:tcPr>
          <w:p w14:paraId="01E2F949" w14:textId="77777777" w:rsidR="00C23AF5" w:rsidRDefault="00C23AF5">
            <w:pPr>
              <w:rPr>
                <w:rFonts w:ascii="宋体" w:hAnsi="宋体" w:cs="Arial"/>
                <w:spacing w:val="-6"/>
                <w:szCs w:val="21"/>
              </w:rPr>
            </w:pPr>
          </w:p>
        </w:tc>
        <w:tc>
          <w:tcPr>
            <w:tcW w:w="10004" w:type="dxa"/>
            <w:vAlign w:val="center"/>
          </w:tcPr>
          <w:p w14:paraId="7B822402" w14:textId="77777777" w:rsidR="00C23AF5" w:rsidRDefault="00000000">
            <w:pPr>
              <w:snapToGrid w:val="0"/>
              <w:ind w:firstLineChars="200" w:firstLine="420"/>
              <w:rPr>
                <w:rFonts w:hAnsi="宋体"/>
                <w:color w:val="000000"/>
                <w:szCs w:val="21"/>
              </w:rPr>
            </w:pPr>
            <w:r>
              <w:rPr>
                <w:rFonts w:hAnsi="宋体" w:hint="eastAsia"/>
                <w:color w:val="000000"/>
                <w:szCs w:val="21"/>
              </w:rPr>
              <w:t>自公司成立以来，未受到上级主管部门有关环境、职业健康安全的行政处罚。未发生相关方的投诉。</w:t>
            </w:r>
          </w:p>
          <w:p w14:paraId="4AAC4D4D" w14:textId="77777777" w:rsidR="00C23AF5" w:rsidRDefault="00000000">
            <w:pPr>
              <w:snapToGrid w:val="0"/>
              <w:ind w:firstLineChars="200" w:firstLine="420"/>
              <w:rPr>
                <w:rFonts w:hAnsi="宋体"/>
                <w:color w:val="000000"/>
                <w:szCs w:val="21"/>
              </w:rPr>
            </w:pPr>
            <w:r>
              <w:rPr>
                <w:rFonts w:hAnsi="宋体" w:hint="eastAsia"/>
                <w:color w:val="000000"/>
                <w:szCs w:val="21"/>
              </w:rPr>
              <w:t>暂时没有国家</w:t>
            </w:r>
            <w:r>
              <w:rPr>
                <w:rFonts w:hAnsi="宋体" w:hint="eastAsia"/>
                <w:color w:val="000000"/>
                <w:szCs w:val="21"/>
              </w:rPr>
              <w:t>/</w:t>
            </w:r>
            <w:r>
              <w:rPr>
                <w:rFonts w:hAnsi="宋体" w:hint="eastAsia"/>
                <w:color w:val="000000"/>
                <w:szCs w:val="21"/>
              </w:rPr>
              <w:t>地方抽查情况。</w:t>
            </w:r>
          </w:p>
          <w:p w14:paraId="4F1E5505" w14:textId="77777777" w:rsidR="00C23AF5" w:rsidRDefault="00000000">
            <w:pPr>
              <w:snapToGrid w:val="0"/>
              <w:ind w:firstLineChars="200" w:firstLine="420"/>
              <w:rPr>
                <w:szCs w:val="21"/>
              </w:rPr>
            </w:pPr>
            <w:r>
              <w:rPr>
                <w:rFonts w:hAnsi="宋体" w:hint="eastAsia"/>
                <w:color w:val="000000"/>
                <w:szCs w:val="21"/>
              </w:rPr>
              <w:t>目前没有相关行政主管部门的检查处罚，在审核现场也未发现抽查、相关方投诉等情况。</w:t>
            </w:r>
          </w:p>
        </w:tc>
        <w:tc>
          <w:tcPr>
            <w:tcW w:w="1585" w:type="dxa"/>
          </w:tcPr>
          <w:p w14:paraId="59B076AF" w14:textId="77777777" w:rsidR="00C23AF5" w:rsidRDefault="00000000">
            <w:pPr>
              <w:rPr>
                <w:szCs w:val="21"/>
              </w:rPr>
            </w:pPr>
            <w:r>
              <w:rPr>
                <w:rFonts w:eastAsiaTheme="minorEastAsia" w:hint="eastAsia"/>
                <w:szCs w:val="21"/>
              </w:rPr>
              <w:t>Y</w:t>
            </w:r>
          </w:p>
        </w:tc>
      </w:tr>
    </w:tbl>
    <w:p w14:paraId="02B6F694" w14:textId="77777777" w:rsidR="00C23AF5" w:rsidRDefault="00000000">
      <w:r>
        <w:ptab w:relativeTo="margin" w:alignment="center" w:leader="none"/>
      </w:r>
    </w:p>
    <w:p w14:paraId="401E4623" w14:textId="77777777" w:rsidR="00C23AF5" w:rsidRDefault="00C23AF5"/>
    <w:p w14:paraId="6475734C" w14:textId="77777777" w:rsidR="00C23AF5" w:rsidRDefault="00C23AF5"/>
    <w:p w14:paraId="08D51F80" w14:textId="77777777" w:rsidR="00C23AF5" w:rsidRDefault="00000000">
      <w:pPr>
        <w:pStyle w:val="a6"/>
      </w:pPr>
      <w:r>
        <w:rPr>
          <w:rFonts w:hint="eastAsia"/>
        </w:rPr>
        <w:t>说明：不符合标注</w:t>
      </w:r>
      <w:r>
        <w:rPr>
          <w:rFonts w:hint="eastAsia"/>
        </w:rPr>
        <w:t>N</w:t>
      </w:r>
    </w:p>
    <w:sectPr w:rsidR="00C23AF5">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232E" w14:textId="77777777" w:rsidR="00681B8F" w:rsidRDefault="00681B8F">
      <w:r>
        <w:separator/>
      </w:r>
    </w:p>
  </w:endnote>
  <w:endnote w:type="continuationSeparator" w:id="0">
    <w:p w14:paraId="49A1F68A" w14:textId="77777777" w:rsidR="00681B8F" w:rsidRDefault="0068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955BE62" w14:textId="77777777" w:rsidR="00C23AF5" w:rsidRDefault="00000000">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p w14:paraId="79758998" w14:textId="77777777" w:rsidR="00C23AF5" w:rsidRDefault="00C23A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50F0" w14:textId="77777777" w:rsidR="00681B8F" w:rsidRDefault="00681B8F">
      <w:r>
        <w:separator/>
      </w:r>
    </w:p>
  </w:footnote>
  <w:footnote w:type="continuationSeparator" w:id="0">
    <w:p w14:paraId="2774094D" w14:textId="77777777" w:rsidR="00681B8F" w:rsidRDefault="0068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F0F7" w14:textId="77777777" w:rsidR="00C23AF5" w:rsidRDefault="00000000">
    <w:pPr>
      <w:pStyle w:val="a8"/>
      <w:pBdr>
        <w:bottom w:val="none" w:sz="0" w:space="0" w:color="auto"/>
      </w:pBdr>
      <w:tabs>
        <w:tab w:val="clear" w:pos="4153"/>
        <w:tab w:val="left" w:pos="8910"/>
        <w:tab w:val="left" w:pos="9045"/>
      </w:tabs>
      <w:spacing w:line="320" w:lineRule="exact"/>
      <w:ind w:leftChars="297" w:left="624"/>
      <w:jc w:val="left"/>
      <w:rPr>
        <w:rStyle w:val="CharChar1"/>
        <w:rFonts w:hint="default"/>
        <w:w w:val="90"/>
      </w:rPr>
    </w:pPr>
    <w:r>
      <w:rPr>
        <w:noProof/>
      </w:rPr>
      <w:drawing>
        <wp:anchor distT="0" distB="0" distL="114300" distR="114300" simplePos="0" relativeHeight="251660288" behindDoc="0" locked="0" layoutInCell="1" allowOverlap="1" wp14:anchorId="126BE0FF" wp14:editId="4FA3422B">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w14:anchorId="452E59EA">
        <v:shapetype id="_x0000_t202" coordsize="21600,21600" o:spt="202" path="m,l,21600r21600,l21600,xe">
          <v:stroke joinstyle="miter"/>
          <v:path gradientshapeok="t" o:connecttype="rect"/>
        </v:shapetype>
        <v:shape id="_x0000_s1028" type="#_x0000_t202" style="position:absolute;left:0;text-align:left;margin-left:406.35pt;margin-top:9.3pt;width:117.95pt;height:20.2pt;z-index:251659264;mso-position-horizontal-relative:text;mso-position-vertical-relative:text;mso-width-relative:page;mso-height-relative:page" stroked="f">
          <v:textbox>
            <w:txbxContent>
              <w:p w14:paraId="1E3C4E3C" w14:textId="77777777" w:rsidR="00C23AF5"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6CABFB6F" w14:textId="77777777" w:rsidR="00C23AF5" w:rsidRDefault="00000000">
    <w:pPr>
      <w:pStyle w:val="a8"/>
      <w:pBdr>
        <w:bottom w:val="single" w:sz="4" w:space="0" w:color="auto"/>
      </w:pBdr>
      <w:tabs>
        <w:tab w:val="clear" w:pos="4153"/>
        <w:tab w:val="left" w:pos="8910"/>
        <w:tab w:val="left" w:pos="9045"/>
      </w:tabs>
      <w:spacing w:line="320" w:lineRule="exact"/>
      <w:ind w:leftChars="297" w:left="624"/>
      <w:jc w:val="left"/>
    </w:pPr>
    <w:r>
      <w:rPr>
        <w:rStyle w:val="CharChar1"/>
        <w:rFonts w:hint="default"/>
        <w:w w:val="90"/>
      </w:rPr>
      <w:t>Beijing International Standard united Certification Co.,Ltd.</w:t>
    </w:r>
  </w:p>
  <w:p w14:paraId="1CD9CB03" w14:textId="77777777" w:rsidR="00C23AF5" w:rsidRDefault="00C23AF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hlOThiN2ZiYWFhMTVmZWIyMjliZTE5YjA2MDUwOTgifQ=="/>
  </w:docVars>
  <w:rsids>
    <w:rsidRoot w:val="007C26D6"/>
    <w:rsid w:val="00415C0F"/>
    <w:rsid w:val="0044579A"/>
    <w:rsid w:val="00681B8F"/>
    <w:rsid w:val="007C26D6"/>
    <w:rsid w:val="00C23AF5"/>
    <w:rsid w:val="00CC53D3"/>
    <w:rsid w:val="1AE4764F"/>
    <w:rsid w:val="1B253BA6"/>
    <w:rsid w:val="20BF388E"/>
    <w:rsid w:val="21BE3FC2"/>
    <w:rsid w:val="29A82042"/>
    <w:rsid w:val="40BA733C"/>
    <w:rsid w:val="41DF0517"/>
    <w:rsid w:val="433D5E46"/>
    <w:rsid w:val="5E992A4C"/>
    <w:rsid w:val="68111886"/>
    <w:rsid w:val="6DDA7EB7"/>
    <w:rsid w:val="73D04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644B5"/>
  <w15:docId w15:val="{CCDDE834-467F-4AAD-97B7-D998304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629</Words>
  <Characters>3590</Characters>
  <Application>Microsoft Office Word</Application>
  <DocSecurity>0</DocSecurity>
  <Lines>29</Lines>
  <Paragraphs>8</Paragraphs>
  <ScaleCrop>false</ScaleCrop>
  <Company>china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20</cp:revision>
  <dcterms:created xsi:type="dcterms:W3CDTF">2015-06-17T12:51:00Z</dcterms:created>
  <dcterms:modified xsi:type="dcterms:W3CDTF">2022-07-16T02:58:00Z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6B6C9EABD65E461196F4B6A991F779DF</vt:lpwstr>
  </property>
</Properties>
</file>