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pPr w:leftFromText="180" w:rightFromText="180" w:vertAnchor="text" w:horzAnchor="page" w:tblpX="1076" w:tblpY="208"/>
        <w:tblOverlap w:val="never"/>
        <w:tblW w:w="498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040"/>
        <w:gridCol w:w="11343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11" w:type="pct"/>
            <w:vMerge w:val="restart"/>
            <w:noWrap w:val="0"/>
            <w:vAlign w:val="center"/>
          </w:tcPr>
          <w:p>
            <w:pPr>
              <w:spacing w:before="120"/>
            </w:pPr>
            <w:r>
              <w:rPr>
                <w:rFonts w:hint="eastAsia" w:cs="宋体"/>
              </w:rPr>
              <w:t>过程与活动、抽样计划</w:t>
            </w:r>
          </w:p>
        </w:tc>
        <w:tc>
          <w:tcPr>
            <w:tcW w:w="350" w:type="pct"/>
            <w:vMerge w:val="restart"/>
            <w:noWrap w:val="0"/>
            <w:vAlign w:val="center"/>
          </w:tcPr>
          <w:p>
            <w:r>
              <w:rPr>
                <w:rFonts w:hint="eastAsia" w:cs="宋体"/>
              </w:rPr>
              <w:t>涉及</w:t>
            </w:r>
          </w:p>
          <w:p>
            <w:r>
              <w:rPr>
                <w:rFonts w:hint="eastAsia" w:cs="宋体"/>
              </w:rPr>
              <w:t>条款</w:t>
            </w:r>
          </w:p>
        </w:tc>
        <w:tc>
          <w:tcPr>
            <w:tcW w:w="3818" w:type="pct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宋体"/>
              </w:rPr>
              <w:t>受审核部门：</w:t>
            </w:r>
            <w:r>
              <w:rPr>
                <w:rFonts w:hint="eastAsia" w:cs="宋体"/>
                <w:lang w:val="en-US" w:eastAsia="zh-CN"/>
              </w:rPr>
              <w:t>生产技术部</w:t>
            </w:r>
            <w: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主管领导：</w:t>
            </w:r>
            <w:r>
              <w:rPr>
                <w:rFonts w:hint="eastAsia"/>
                <w:lang w:val="en-US" w:eastAsia="zh-CN"/>
              </w:rPr>
              <w:t>张增茂</w:t>
            </w:r>
            <w:r>
              <w:rPr>
                <w:rFonts w:hint="eastAsia" w:cs="宋体"/>
              </w:rPr>
              <w:t xml:space="preserve"> </w:t>
            </w:r>
            <w:r>
              <w:rPr>
                <w:rFonts w:hint="eastAsia" w:cs="宋体"/>
                <w:lang w:val="en-US" w:eastAsia="zh-CN"/>
              </w:rPr>
              <w:t xml:space="preserve">    </w:t>
            </w:r>
            <w:r>
              <w:rPr>
                <w:rFonts w:hint="eastAsia" w:cs="宋体"/>
              </w:rPr>
              <w:t xml:space="preserve">  </w:t>
            </w:r>
            <w:r>
              <w:rPr>
                <w:rFonts w:hint="eastAsia" w:cs="宋体"/>
                <w:lang w:val="en-US" w:eastAsia="zh-CN"/>
              </w:rPr>
              <w:t xml:space="preserve"> 陪</w:t>
            </w:r>
            <w:r>
              <w:rPr>
                <w:rFonts w:hint="eastAsia"/>
                <w:lang w:val="en-US" w:eastAsia="zh-CN"/>
              </w:rPr>
              <w:t>同人员</w:t>
            </w:r>
            <w:r>
              <w:rPr>
                <w:rFonts w:hint="eastAsia" w:cs="宋体"/>
                <w:lang w:val="en-US" w:eastAsia="zh-CN"/>
              </w:rPr>
              <w:t>：王同工</w:t>
            </w:r>
          </w:p>
        </w:tc>
        <w:tc>
          <w:tcPr>
            <w:tcW w:w="320" w:type="pct"/>
            <w:vMerge w:val="restart"/>
            <w:noWrap w:val="0"/>
            <w:vAlign w:val="center"/>
          </w:tcPr>
          <w:p>
            <w:r>
              <w:rPr>
                <w:rFonts w:hint="eastAsia" w:cs="宋体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11" w:type="pct"/>
            <w:vMerge w:val="continue"/>
            <w:noWrap w:val="0"/>
            <w:vAlign w:val="center"/>
          </w:tcPr>
          <w:p/>
        </w:tc>
        <w:tc>
          <w:tcPr>
            <w:tcW w:w="350" w:type="pct"/>
            <w:vMerge w:val="continue"/>
            <w:noWrap w:val="0"/>
            <w:vAlign w:val="center"/>
          </w:tcPr>
          <w:p/>
        </w:tc>
        <w:tc>
          <w:tcPr>
            <w:tcW w:w="3818" w:type="pct"/>
            <w:noWrap w:val="0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宋体"/>
              </w:rPr>
              <w:t>审核员：</w:t>
            </w:r>
            <w:r>
              <w:rPr>
                <w:rFonts w:hint="eastAsia" w:cs="宋体"/>
                <w:lang w:val="en-US" w:eastAsia="zh-CN"/>
              </w:rPr>
              <w:t>吉洁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 w:cs="宋体"/>
              </w:rPr>
              <w:t>审核时间：</w:t>
            </w:r>
            <w:r>
              <w:rPr>
                <w:rFonts w:hint="eastAsia" w:cs="宋体"/>
                <w:lang w:val="en-US" w:eastAsia="zh-CN"/>
              </w:rPr>
              <w:t>2022.7.19</w:t>
            </w:r>
          </w:p>
        </w:tc>
        <w:tc>
          <w:tcPr>
            <w:tcW w:w="320" w:type="pct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11" w:type="pct"/>
            <w:vMerge w:val="continue"/>
            <w:noWrap w:val="0"/>
            <w:vAlign w:val="center"/>
          </w:tcPr>
          <w:p/>
        </w:tc>
        <w:tc>
          <w:tcPr>
            <w:tcW w:w="350" w:type="pct"/>
            <w:vMerge w:val="continue"/>
            <w:noWrap w:val="0"/>
            <w:vAlign w:val="center"/>
          </w:tcPr>
          <w:p/>
        </w:tc>
        <w:tc>
          <w:tcPr>
            <w:tcW w:w="38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cs="宋体"/>
              </w:rPr>
              <w:t>审核条款：</w:t>
            </w: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/>
                <w:sz w:val="21"/>
                <w:szCs w:val="21"/>
              </w:rPr>
              <w:t>5.3/6.2/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6.1.2/6.2/8.1/8.2</w:t>
            </w:r>
          </w:p>
        </w:tc>
        <w:tc>
          <w:tcPr>
            <w:tcW w:w="320" w:type="pct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1" w:type="pct"/>
            <w:noWrap w:val="0"/>
            <w:vAlign w:val="center"/>
          </w:tcPr>
          <w:p>
            <w:pP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组织的岗位、职责权限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/>
                <w:sz w:val="21"/>
                <w:szCs w:val="21"/>
              </w:rPr>
              <w:t>5.3</w:t>
            </w:r>
          </w:p>
          <w:p>
            <w:pP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18" w:type="pct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生产技术部负责人：</w:t>
            </w:r>
            <w:r>
              <w:rPr>
                <w:rFonts w:hint="eastAsia"/>
                <w:lang w:val="en-US" w:eastAsia="zh-CN"/>
              </w:rPr>
              <w:t>张增茂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有主管1人，车间主任1人、工人10多人，车间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个。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要负责：生产过程的控制；设备的管理；产品的标识与防护；原材料、生产过程、成品的检验；产品的放行；不合格品的处置；监视和测量资源的管理；生产过程环境因素危险源的识别与控制、公司目标方案的执行、应急准备和相应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生产设备：</w:t>
            </w:r>
            <w:r>
              <w:rPr>
                <w:rFonts w:hint="eastAsia"/>
                <w:lang w:val="en-US" w:eastAsia="zh-CN"/>
              </w:rPr>
              <w:t>绞绳</w:t>
            </w:r>
            <w:r>
              <w:rPr>
                <w:rFonts w:hint="eastAsia"/>
                <w:lang w:eastAsia="zh-CN"/>
              </w:rPr>
              <w:t>机、</w:t>
            </w:r>
            <w:r>
              <w:rPr>
                <w:rFonts w:hint="eastAsia"/>
                <w:lang w:val="en-US" w:eastAsia="zh-CN"/>
              </w:rPr>
              <w:t>注塑机、冲压件、剪板机</w:t>
            </w:r>
            <w:r>
              <w:rPr>
                <w:rFonts w:hint="eastAsia"/>
              </w:rPr>
              <w:t>等。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部门负责人对本部门的职责和权限以及工作流程清楚、明确完成本部门的目标指标。</w:t>
            </w:r>
          </w:p>
        </w:tc>
        <w:tc>
          <w:tcPr>
            <w:tcW w:w="320" w:type="pct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1" w:type="pct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目标和方案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6.2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818" w:type="pct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部门目标：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设备按时保养率</w:t>
            </w:r>
            <w:r>
              <w:rPr>
                <w:rFonts w:hint="eastAsia"/>
                <w:lang w:val="en-US" w:eastAsia="zh-CN"/>
              </w:rPr>
              <w:t xml:space="preserve">                  100%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产品一次交验合格率</w:t>
            </w:r>
            <w:r>
              <w:rPr>
                <w:rFonts w:hint="eastAsia"/>
                <w:lang w:val="en-US" w:eastAsia="zh-CN"/>
              </w:rPr>
              <w:t xml:space="preserve">              100%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固体废物处集中处置率</w:t>
            </w:r>
            <w:r>
              <w:rPr>
                <w:rFonts w:hint="eastAsia"/>
                <w:lang w:val="en-US" w:eastAsia="zh-CN"/>
              </w:rPr>
              <w:t xml:space="preserve">            100%         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轻伤事故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≤3起/年</w:t>
            </w:r>
            <w:r>
              <w:rPr>
                <w:rFonts w:hint="eastAsia"/>
                <w:lang w:val="en-US" w:eastAsia="zh-CN"/>
              </w:rPr>
              <w:t xml:space="preserve">             0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火灾及重大安全事故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 xml:space="preserve">            0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按照季度进行考核，</w:t>
            </w:r>
            <w:r>
              <w:rPr>
                <w:rFonts w:hint="eastAsia"/>
                <w:lang w:val="en-US" w:eastAsia="zh-CN"/>
              </w:rPr>
              <w:t>查看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1-6月</w:t>
            </w:r>
            <w:r>
              <w:rPr>
                <w:rFonts w:hint="eastAsia"/>
              </w:rPr>
              <w:t>目标考核</w:t>
            </w:r>
            <w:r>
              <w:rPr>
                <w:rFonts w:hint="eastAsia"/>
                <w:lang w:val="en-US" w:eastAsia="zh-CN"/>
              </w:rPr>
              <w:t>记录，显示已完成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考核人：孙红丹 2022.6.30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对以上的目标指标制定了管理方案：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•环境目标、指标：噪声达标排放</w:t>
            </w:r>
            <w:r>
              <w:rPr>
                <w:rFonts w:hint="eastAsia"/>
                <w:lang w:val="en-US" w:eastAsia="zh-CN"/>
              </w:rPr>
              <w:t>达标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措施：各设备都安装减震、隔音设施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完成时间：20</w:t>
            </w:r>
            <w:r>
              <w:rPr>
                <w:rFonts w:hint="eastAsia"/>
                <w:lang w:val="en-US" w:eastAsia="zh-CN"/>
              </w:rPr>
              <w:t>22.1-12</w:t>
            </w:r>
            <w:r>
              <w:rPr>
                <w:rFonts w:hint="eastAsia"/>
              </w:rPr>
              <w:t xml:space="preserve"> 费用：</w:t>
            </w:r>
            <w:r>
              <w:rPr>
                <w:rFonts w:hint="eastAsia"/>
                <w:lang w:val="en-US" w:eastAsia="zh-CN"/>
              </w:rPr>
              <w:t>8500</w:t>
            </w:r>
            <w:r>
              <w:rPr>
                <w:rFonts w:hint="eastAsia"/>
              </w:rPr>
              <w:t>元 责任部门：生产技术部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•环境目标、指标："固体废弃物100%分类</w:t>
            </w:r>
            <w:r>
              <w:rPr>
                <w:rFonts w:hint="default"/>
                <w:lang w:val="en-US" w:eastAsia="zh-CN"/>
              </w:rPr>
              <w:t>”</w:t>
            </w:r>
            <w:r>
              <w:rPr>
                <w:rFonts w:hint="eastAsia"/>
              </w:rPr>
              <w:t>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措施：1.对员工进行相应的培训；并加强日常的宣传、教育，确保危险固废集中收存；2.加强过程控制，工序改善、工艺改进、操作规范、实现固体废弃物最小化要求；3.设定专门的垃圾存入场所，做好防雨、防风、防渗漏，杜绝二次污染。完成时间：20</w:t>
            </w:r>
            <w:r>
              <w:rPr>
                <w:rFonts w:hint="eastAsia"/>
                <w:lang w:val="en-US" w:eastAsia="zh-CN"/>
              </w:rPr>
              <w:t>22.1-12</w:t>
            </w:r>
            <w:r>
              <w:rPr>
                <w:rFonts w:hint="eastAsia"/>
              </w:rPr>
              <w:t xml:space="preserve"> 费用：</w:t>
            </w:r>
            <w:r>
              <w:rPr>
                <w:rFonts w:hint="eastAsia"/>
                <w:lang w:val="en-US" w:eastAsia="zh-CN"/>
              </w:rPr>
              <w:t>5000</w:t>
            </w:r>
            <w:r>
              <w:rPr>
                <w:rFonts w:hint="eastAsia"/>
              </w:rPr>
              <w:t>元 责任部门：生技部/办公室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安全目标、指标：火灾事故发生率为0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措施：强化安全思想教育培训，认真学习安全规程；配备符合要求的安全工器具；电源电线与化学品易燃物分开.....。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完成时间20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21.1-12</w:t>
            </w:r>
            <w:r>
              <w:rPr>
                <w:rFonts w:hint="eastAsia"/>
                <w:sz w:val="21"/>
                <w:szCs w:val="21"/>
              </w:rPr>
              <w:t xml:space="preserve"> 费用：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3000</w:t>
            </w:r>
            <w:r>
              <w:rPr>
                <w:rFonts w:hint="eastAsia"/>
                <w:sz w:val="21"/>
                <w:szCs w:val="21"/>
              </w:rPr>
              <w:t>万元 责任部门：生技部等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•安全目标、指标：重大机械伤害、物体打击事故为0，轻伤每年少于5人次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案：1.定期对设备进行维护保养，更换易损件，确保设备安全运行；2.定期对员工进行安全生产制度培训，并不定期对各工序生产现场进行考核；3.按规定进行物料搬运，禁止抛掷等危险搬运动作；4.工人伤病、精神不佳时禁止上岗作业。完成时间：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22.1-12</w:t>
            </w:r>
            <w:r>
              <w:rPr>
                <w:rFonts w:hint="eastAsia"/>
                <w:sz w:val="21"/>
                <w:szCs w:val="21"/>
              </w:rPr>
              <w:t xml:space="preserve"> 费用：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6500</w:t>
            </w:r>
            <w:r>
              <w:rPr>
                <w:rFonts w:hint="eastAsia"/>
                <w:sz w:val="21"/>
                <w:szCs w:val="21"/>
              </w:rPr>
              <w:t>元 责任部门：办公室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</w:rPr>
              <w:t>另查看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火灾</w:t>
            </w:r>
            <w:r>
              <w:rPr>
                <w:rFonts w:hint="eastAsia"/>
                <w:sz w:val="21"/>
                <w:szCs w:val="21"/>
              </w:rPr>
              <w:t>事故为0，的管理方案以上类似，措施基本可行。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每季度组织一次对目标、指标管理方案进行程度、完成情况的考核,提供安全目标、指标考核记录，</w:t>
            </w:r>
            <w:r>
              <w:rPr>
                <w:rFonts w:hint="eastAsia"/>
                <w:lang w:val="en-US" w:eastAsia="zh-CN"/>
              </w:rPr>
              <w:t>经查已完成</w:t>
            </w:r>
            <w:r>
              <w:rPr>
                <w:rFonts w:hint="eastAsia"/>
              </w:rPr>
              <w:t>。</w:t>
            </w:r>
          </w:p>
        </w:tc>
        <w:tc>
          <w:tcPr>
            <w:tcW w:w="320" w:type="pct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511" w:type="pct"/>
            <w:noWrap w:val="0"/>
            <w:vAlign w:val="center"/>
          </w:tcPr>
          <w:p>
            <w:pPr>
              <w:rPr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危险源辨识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/>
                <w:sz w:val="21"/>
                <w:szCs w:val="21"/>
              </w:rPr>
              <w:t>风险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和机遇的评价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6.1.2</w:t>
            </w:r>
          </w:p>
        </w:tc>
        <w:tc>
          <w:tcPr>
            <w:tcW w:w="3818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提供了《危险源评价表》，涉及生产技术部的危险源主要包括：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现场行走：人员滑到，厂区内尖锐物划伤，厂内机动车辆撞击，物体撞击等。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设备维修作业：设备维修时误送电，导致触电；维修中未穿戴防护用品，导致触电；维修过程中的违章操作，导致机械伤害等。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注塑作业：电器线路绝缘不良，设备带电；加热时高温烫伤；废气的吸入等。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模压</w:t>
            </w:r>
            <w:r>
              <w:rPr>
                <w:rFonts w:hint="eastAsia"/>
              </w:rPr>
              <w:t>作业：机械伤害</w:t>
            </w:r>
            <w:r>
              <w:rPr>
                <w:rFonts w:hint="eastAsia"/>
                <w:lang w:val="en-US" w:eastAsia="zh-CN"/>
              </w:rPr>
              <w:t>高温</w:t>
            </w:r>
            <w:r>
              <w:rPr>
                <w:rFonts w:hint="eastAsia"/>
              </w:rPr>
              <w:t>伤害等。</w:t>
            </w:r>
          </w:p>
          <w:p>
            <w:pP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提供重大危险源清单：涉及生产技术部的重大危险源：火灾、触电、烫伤、机械伤害、噪声伤害。 识别基本准确。</w:t>
            </w:r>
          </w:p>
        </w:tc>
        <w:tc>
          <w:tcPr>
            <w:tcW w:w="320" w:type="pct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511" w:type="pct"/>
            <w:noWrap w:val="0"/>
            <w:vAlign w:val="center"/>
          </w:tcPr>
          <w:p>
            <w:pP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运行控制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8.1</w:t>
            </w:r>
          </w:p>
        </w:tc>
        <w:tc>
          <w:tcPr>
            <w:tcW w:w="3818" w:type="pct"/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本部门应执行的运行控制文件包括：职业健康安全运行控制程序/安全制度/职业卫生管理制度等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运行控制情况：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■办公过程注意节约用电，做到人走灯灭，电脑长时间不用时关机，下班前要关闭电源；办公过程产生的固废按办公室要求放到指定地点，现场查看无混放现象；办公用品按要求由办公室负责发放；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■生产噪声的排放控制：主要噪声有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绞绳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机、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注塑机</w:t>
            </w:r>
            <w:r>
              <w:rPr>
                <w:rFonts w:hint="eastAsia"/>
                <w:sz w:val="21"/>
                <w:szCs w:val="21"/>
              </w:rPr>
              <w:t>等设备运行过程中产生的机械性噪声，在购置设备时选用低噪声设备，采取厂房屏蔽，安装消声器等措施后，尽可能减小设备噪声。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■杜绝重大机械伤害控制情况：现场有必要安全标识、工人均佩戴劳动防护用品、公司对车间每月进行一次安全生产大检查，查见20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1-6</w:t>
            </w:r>
            <w:r>
              <w:rPr>
                <w:rFonts w:hint="eastAsia"/>
                <w:sz w:val="21"/>
                <w:szCs w:val="21"/>
              </w:rPr>
              <w:t>月的检查记录，检查结果：合格。检查人：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孙红丹</w:t>
            </w:r>
            <w:r>
              <w:rPr>
                <w:rFonts w:hint="eastAsia"/>
                <w:sz w:val="21"/>
                <w:szCs w:val="21"/>
              </w:rPr>
              <w:t>。查见对工人进行三级安全培训的培训记录，制定了相应的应急预案。近一年内未出现过严重的工伤事故。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触电情况：现场工人劳保用品配备和设备电源开关管理等基本符合要求；电工定期对现场设备接地情况定期进行检查，确保设备接地良好，但现场查看生产设备配电箱电线过多，灰尘较大，存在安全隐患，已同部门负责人交流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仓库：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★原材料库存放的原材料/成品库房存放少量成品，其分类存放，有标识，现场观察基本符合要求。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★货物装卸过程要求进出车辆要求进入公司附近开始不鸣喇叭；装卸过程注意协调指挥，互相防护，避免跌落、砸伤、车辆伤害等。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★员工按要求佩戴了手套、工作服。操作过程中，互相护卫。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★仓库搬运工人配备了劳保服、手套等劳保用品，经查现场操作人员佩戴齐全。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提供劳保用品发放记录，抽查 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sz w:val="21"/>
                <w:szCs w:val="21"/>
              </w:rPr>
              <w:t>，发放线手套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副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口罩10副</w:t>
            </w:r>
            <w:r>
              <w:rPr>
                <w:rFonts w:hint="eastAsia"/>
                <w:sz w:val="21"/>
                <w:szCs w:val="21"/>
              </w:rPr>
              <w:t>，经查符合要求。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★潜在火灾的控制情况：提供了火灾应急预案。</w:t>
            </w:r>
          </w:p>
          <w:p>
            <w:pP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对仓库库存放产品每月检查一次，检查内容有产品库存情况、防护情况等，目前控制情况良好。</w:t>
            </w:r>
          </w:p>
        </w:tc>
        <w:tc>
          <w:tcPr>
            <w:tcW w:w="320" w:type="pct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511" w:type="pct"/>
            <w:noWrap w:val="0"/>
            <w:vAlign w:val="center"/>
          </w:tcPr>
          <w:p>
            <w:pP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应急准备和响应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8.2</w:t>
            </w:r>
          </w:p>
        </w:tc>
        <w:tc>
          <w:tcPr>
            <w:tcW w:w="3818" w:type="pct"/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编制有《应急预案汇编》，包括《安全事故应急救援体系》、《火灾事故应急预案》、《触电故应急预案》、《机械伤害应急预案》。</w:t>
            </w:r>
          </w:p>
          <w:p>
            <w:pP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日</w:t>
            </w:r>
            <w:r>
              <w:rPr>
                <w:rFonts w:hint="eastAsia" w:cs="宋体"/>
              </w:rPr>
              <w:t>参加了公司组织</w:t>
            </w:r>
            <w:r>
              <w:rPr>
                <w:rFonts w:hint="eastAsia" w:cs="宋体"/>
                <w:lang w:val="en-US" w:eastAsia="zh-CN"/>
              </w:rPr>
              <w:t>灭火机械伤害</w:t>
            </w:r>
            <w:r>
              <w:rPr>
                <w:rFonts w:hint="eastAsia" w:cs="宋体"/>
              </w:rPr>
              <w:t>演练，相关记录详见</w:t>
            </w:r>
            <w:r>
              <w:rPr>
                <w:rFonts w:hint="eastAsia" w:cs="宋体"/>
                <w:lang w:eastAsia="zh-CN"/>
              </w:rPr>
              <w:t>办公室</w:t>
            </w:r>
            <w:r>
              <w:rPr>
                <w:rFonts w:hint="eastAsia" w:cs="宋体"/>
              </w:rPr>
              <w:t>相关条款。</w:t>
            </w:r>
          </w:p>
        </w:tc>
        <w:tc>
          <w:tcPr>
            <w:tcW w:w="320" w:type="pct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pPr>
        <w:pStyle w:val="7"/>
        <w:rPr>
          <w:rFonts w:hint="eastAsia"/>
        </w:rPr>
      </w:pPr>
      <w:r>
        <w:rPr>
          <w:rFonts w:hint="eastAsia"/>
        </w:rPr>
        <w:t>说明：不符合标注N</w:t>
      </w:r>
    </w:p>
    <w:p>
      <w:pPr>
        <w:bidi w:val="0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pStyle w:val="7"/>
        <w:rPr>
          <w:rFonts w:hint="eastAsia"/>
        </w:rPr>
      </w:pPr>
    </w:p>
    <w:tbl>
      <w:tblPr>
        <w:tblStyle w:val="9"/>
        <w:tblW w:w="499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026"/>
        <w:gridCol w:w="11360"/>
        <w:gridCol w:w="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17" w:type="pct"/>
            <w:vMerge w:val="restart"/>
            <w:noWrap w:val="0"/>
            <w:vAlign w:val="center"/>
          </w:tcPr>
          <w:p>
            <w:pPr>
              <w:spacing w:before="12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过程与活动、抽样计划</w:t>
            </w:r>
          </w:p>
        </w:tc>
        <w:tc>
          <w:tcPr>
            <w:tcW w:w="345" w:type="pct"/>
            <w:vMerge w:val="restart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涉及</w:t>
            </w:r>
          </w:p>
          <w:p>
            <w:pPr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条款</w:t>
            </w:r>
          </w:p>
        </w:tc>
        <w:tc>
          <w:tcPr>
            <w:tcW w:w="3819" w:type="pct"/>
            <w:noWrap w:val="0"/>
            <w:vAlign w:val="center"/>
          </w:tcPr>
          <w:p>
            <w:pPr>
              <w:rPr>
                <w:rFonts w:hint="default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</w:rPr>
              <w:t>受审核部门：</w:t>
            </w:r>
            <w:r>
              <w:rPr>
                <w:rFonts w:hint="eastAsia" w:ascii="楷体" w:hAnsi="楷体" w:eastAsia="楷体" w:cs="楷体"/>
                <w:lang w:eastAsia="zh-CN"/>
              </w:rPr>
              <w:t>办公室</w:t>
            </w:r>
            <w:r>
              <w:rPr>
                <w:rFonts w:hint="eastAsia" w:ascii="楷体" w:hAnsi="楷体" w:eastAsia="楷体" w:cs="楷体"/>
              </w:rPr>
              <w:t xml:space="preserve">  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</w:rPr>
              <w:t xml:space="preserve"> 主管领导：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孙红丹        陪同人员：路秋月  </w:t>
            </w:r>
          </w:p>
        </w:tc>
        <w:tc>
          <w:tcPr>
            <w:tcW w:w="317" w:type="pct"/>
            <w:vMerge w:val="restart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7" w:type="pct"/>
            <w:vMerge w:val="continue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</w:rPr>
            </w:pPr>
          </w:p>
        </w:tc>
        <w:tc>
          <w:tcPr>
            <w:tcW w:w="345" w:type="pct"/>
            <w:vMerge w:val="continue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</w:rPr>
            </w:pPr>
          </w:p>
        </w:tc>
        <w:tc>
          <w:tcPr>
            <w:tcW w:w="3819" w:type="pct"/>
            <w:noWrap w:val="0"/>
            <w:vAlign w:val="center"/>
          </w:tcPr>
          <w:p>
            <w:pPr>
              <w:spacing w:before="12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审核员：</w:t>
            </w:r>
            <w:r>
              <w:rPr>
                <w:rFonts w:hint="eastAsia" w:ascii="楷体" w:hAnsi="楷体" w:eastAsia="楷体" w:cs="楷体"/>
                <w:lang w:eastAsia="zh-CN"/>
              </w:rPr>
              <w:t>吉洁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      </w:t>
            </w:r>
            <w:r>
              <w:rPr>
                <w:rFonts w:hint="eastAsia" w:ascii="楷体" w:hAnsi="楷体" w:eastAsia="楷体" w:cs="楷体"/>
              </w:rPr>
              <w:t xml:space="preserve">    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</w:rPr>
              <w:t>审核时间：20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22</w:t>
            </w:r>
            <w:r>
              <w:rPr>
                <w:rFonts w:hint="eastAsia" w:ascii="楷体" w:hAnsi="楷体" w:eastAsia="楷体" w:cs="楷体"/>
              </w:rPr>
              <w:t>年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</w:rPr>
              <w:t>月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</w:rPr>
              <w:t>日</w:t>
            </w:r>
          </w:p>
        </w:tc>
        <w:tc>
          <w:tcPr>
            <w:tcW w:w="317" w:type="pct"/>
            <w:vMerge w:val="continue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17" w:type="pct"/>
            <w:vMerge w:val="continue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</w:rPr>
            </w:pPr>
          </w:p>
        </w:tc>
        <w:tc>
          <w:tcPr>
            <w:tcW w:w="345" w:type="pct"/>
            <w:vMerge w:val="continue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</w:rPr>
            </w:pPr>
          </w:p>
        </w:tc>
        <w:tc>
          <w:tcPr>
            <w:tcW w:w="38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</w:rPr>
              <w:t>审核条款：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5.3/6.2/7.2/7.3/7.4/7.5/9.1/9.2/10.2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</w:p>
          <w:p>
            <w:pPr>
              <w:ind w:firstLine="1050" w:firstLineChars="500"/>
              <w:rPr>
                <w:rFonts w:hint="eastAsia" w:ascii="楷体" w:hAnsi="楷体" w:eastAsia="楷体" w:cs="楷体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6.1.2/6.1.3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7.2/7.3/7.4/7.5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8.1/8.2/9.1/9.2/10.2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;O5.4</w:t>
            </w:r>
          </w:p>
        </w:tc>
        <w:tc>
          <w:tcPr>
            <w:tcW w:w="317" w:type="pct"/>
            <w:vMerge w:val="continue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517" w:type="pct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组织的岗位、职责权限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E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5.3</w:t>
            </w:r>
          </w:p>
          <w:p>
            <w:pPr>
              <w:rPr>
                <w:rFonts w:hint="eastAsia" w:ascii="楷体" w:hAnsi="楷体" w:eastAsia="楷体" w:cs="楷体"/>
              </w:rPr>
            </w:pPr>
          </w:p>
        </w:tc>
        <w:tc>
          <w:tcPr>
            <w:tcW w:w="3819" w:type="pct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办公室</w:t>
            </w:r>
            <w:r>
              <w:rPr>
                <w:rFonts w:hint="eastAsia" w:ascii="楷体" w:hAnsi="楷体" w:eastAsia="楷体" w:cs="楷体"/>
              </w:rPr>
              <w:t>负责人：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孙红丹</w:t>
            </w:r>
          </w:p>
          <w:p>
            <w:pPr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询问其职责权限：</w:t>
            </w:r>
          </w:p>
          <w:p>
            <w:pPr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A.负责文件</w:t>
            </w:r>
            <w:r>
              <w:rPr>
                <w:rFonts w:hint="eastAsia" w:ascii="楷体" w:hAnsi="楷体" w:eastAsia="楷体" w:cs="楷体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</w:rPr>
              <w:t>记录</w:t>
            </w:r>
            <w:r>
              <w:rPr>
                <w:rFonts w:hint="eastAsia" w:ascii="楷体" w:hAnsi="楷体" w:eastAsia="楷体" w:cs="楷体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</w:rPr>
              <w:t>人力资源管理;</w:t>
            </w:r>
          </w:p>
          <w:p>
            <w:pPr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B.负责质量</w:t>
            </w:r>
            <w:r>
              <w:rPr>
                <w:rFonts w:hint="eastAsia" w:ascii="楷体" w:hAnsi="楷体" w:eastAsia="楷体" w:cs="楷体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</w:rPr>
              <w:t>环境</w:t>
            </w:r>
            <w:r>
              <w:rPr>
                <w:rFonts w:hint="eastAsia" w:ascii="楷体" w:hAnsi="楷体" w:eastAsia="楷体" w:cs="楷体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</w:rPr>
              <w:t>职业健康安全体系过程的监视和测量，绩效测量和监视；</w:t>
            </w:r>
          </w:p>
          <w:p>
            <w:pPr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C.负责组织本公司环境因素的识别、评价及初始环境评审；负责内部沟通,法律法规收集及合规性评价;</w:t>
            </w:r>
          </w:p>
          <w:p>
            <w:pPr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D.负责质量</w:t>
            </w:r>
            <w:r>
              <w:rPr>
                <w:rFonts w:hint="eastAsia" w:ascii="楷体" w:hAnsi="楷体" w:eastAsia="楷体" w:cs="楷体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</w:rPr>
              <w:t>环境</w:t>
            </w:r>
            <w:r>
              <w:rPr>
                <w:rFonts w:hint="eastAsia" w:ascii="楷体" w:hAnsi="楷体" w:eastAsia="楷体" w:cs="楷体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</w:rPr>
              <w:t>职业健康安全管理体系不合格品的控制及纠正、预防措施，不符合、纠正措施和预防措施，事故、事件、不符合、纠正与预防措施的控制；</w:t>
            </w:r>
          </w:p>
          <w:p>
            <w:pPr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E.负责数据分析；</w:t>
            </w:r>
          </w:p>
          <w:p>
            <w:pPr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F.负责组织内部审核。</w:t>
            </w:r>
          </w:p>
          <w:p>
            <w:pPr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职责明确，回答基本完整。</w:t>
            </w:r>
          </w:p>
        </w:tc>
        <w:tc>
          <w:tcPr>
            <w:tcW w:w="317" w:type="pct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517" w:type="pct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目标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E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6.2</w:t>
            </w:r>
          </w:p>
          <w:p>
            <w:pP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19" w:type="pct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查管理手册中有公司总的目标，为确保目标的实现，将目标进行了分解，提供有《管理目标指标考核记录》。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查办公室管理目标：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      </w:t>
            </w:r>
          </w:p>
          <w:p>
            <w:pPr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目标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                               完成情况（2022年6月份）</w:t>
            </w:r>
          </w:p>
          <w:p>
            <w:pPr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人员培训率100%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                      100%</w:t>
            </w:r>
          </w:p>
          <w:p>
            <w:pPr>
              <w:tabs>
                <w:tab w:val="left" w:pos="4040"/>
              </w:tabs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文件受控率100%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100%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火灾、安全事故发生次数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0            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0</w:t>
            </w:r>
          </w:p>
          <w:p>
            <w:pPr>
              <w:tabs>
                <w:tab w:val="left" w:pos="4100"/>
              </w:tabs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固废集中处置率100%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100%</w:t>
            </w:r>
          </w:p>
          <w:p>
            <w:pPr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环保及职业健康安全资金按时落实率100%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 100%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考核人：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孙红丹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另查其他月份考核记录，均完成了制定的目标。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抽查管理方案情况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：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——抽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环境目标指标：废弃物100%分类处置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管理方案：1.对员工进行相应的培训；并加强日常的宣传、教育，确保危险固废集中收存；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2.加强过程控制，工序改善、工艺改进、操作规范、实现固体废弃物最小化要求；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3.设定专门的垃圾存入场所，做好防雨、防风、防渗漏，杜绝二次污染。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完成时间：20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22.1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-12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月，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费用5000元 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责任部门：各部门，监控部门：办公室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安全目标、指标：火灾事故发生率为0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管理方案：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1.严格落实公司安全检查、整改制度；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2.定期进行电气线路检查，发现问题及时解决；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3.定期对油料存储情况进行检查，确保油料无泄漏，远离火源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4.组织消防事故应急救援演练、评价；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5.定期充装维护消防器材，确保完好。</w:t>
            </w:r>
          </w:p>
          <w:p>
            <w:pP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完成时间20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22.1-12月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费用：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8000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元 责任部门：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各部门，责任人：孙红丹</w:t>
            </w:r>
          </w:p>
        </w:tc>
        <w:tc>
          <w:tcPr>
            <w:tcW w:w="317" w:type="pct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517" w:type="pct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环境因素、危险源识别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E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O</w:t>
            </w:r>
            <w:r>
              <w:rPr>
                <w:rFonts w:hint="eastAsia" w:ascii="楷体" w:hAnsi="楷体" w:eastAsia="楷体" w:cs="楷体"/>
              </w:rPr>
              <w:t>6.1.2</w:t>
            </w:r>
          </w:p>
          <w:p>
            <w:pPr>
              <w:rPr>
                <w:rFonts w:hint="eastAsia" w:ascii="楷体" w:hAnsi="楷体" w:eastAsia="楷体" w:cs="楷体"/>
                <w:lang w:val="en-US" w:eastAsia="zh-CN"/>
              </w:rPr>
            </w:pPr>
          </w:p>
        </w:tc>
        <w:tc>
          <w:tcPr>
            <w:tcW w:w="3819" w:type="pct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执行《环境因素和危险源识别评价与控制程序》。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提供《环境因素识别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评价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表》，包括办公区、生产区等，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办公室识别出环境因素有：水电资源消耗、生活废水排放、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固废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排放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、意外火灾、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废弃口罩丢弃、废弃消毒液包装丢弃、垃圾丢弃、汽车喇叭噪声排放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等。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采用是否法评价出重要环境因素，编制了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《重要环境因素清单》，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重要环境因素：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固废排放、潜在火灾，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评价准确。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提供《危险源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辨识与风险评价表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》，按照活动、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过程、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区域进行了识别，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办公室识别出危险源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包括：电脑、打印机、复印机产生的辐射；电源电器老化损坏、违章用电、地面油污水滑跌倒、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外出就餐食物中毒、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火灾、触电、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上下楼梯摔伤、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未按要求佩戴防护口罩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造成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潜在感染风险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接触外来人员等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造成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潜在感染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、违反交通规则造成交通事故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等，评价基本全面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采用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D=L·E·C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风险评级法，评价出不接接受风险，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提供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了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《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不可接受风险清单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》，其中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办公室不可接受风险有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火灾、触电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，评价准确。</w:t>
            </w:r>
          </w:p>
          <w:p>
            <w:pPr>
              <w:rPr>
                <w:rFonts w:hint="eastAsia"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针对识别出的危险源和环境因素制定了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运行控制、管理方案、应急预案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等。</w:t>
            </w:r>
          </w:p>
        </w:tc>
        <w:tc>
          <w:tcPr>
            <w:tcW w:w="317" w:type="pct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7" w:type="pct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合规义务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、法律法规及其他要求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E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6.1.3</w:t>
            </w:r>
          </w:p>
          <w:p>
            <w:pP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19" w:type="pct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编制并执行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《环境和职业健康安全法律法规控制程序》，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程序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规定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了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法律、法规及其他要求的范围、获取方法、确认及分发。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提供公司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适用的《法律法规及其他要求清单》，主要有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中华人民共和国环境保护法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中华人民共和国水污染防治法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中华人民共和国安全生产法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中华人民共和国消防法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中华人民共和国工会法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中华人民共和国职业病防治法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中华人民共和国节约能源法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中华人民共和国清洁生产促进法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中华人民共和国保险法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、GB12348-2008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工业企业厂界环境噪声标准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、GB3095-2012环境空气质量标准、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DB13/2322-2016工业企业挥发性有机物排放控制标准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、河北省人民政府突发公共事件总体应急预案、河北省失业保险实施办法、河北省突发公共卫生事件应急实施办法等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识别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充分。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法律法规及其他要求在办公室存档一份，并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以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电子版的形式发到各部门电脑上。定期在网上查看法规的更新情况，目前均为最新版本。</w:t>
            </w:r>
          </w:p>
        </w:tc>
        <w:tc>
          <w:tcPr>
            <w:tcW w:w="317" w:type="pct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7" w:type="pct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能力、培训和意识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E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7.2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E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7.3</w:t>
            </w:r>
          </w:p>
          <w:p>
            <w:pP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19" w:type="pct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编制了《人力资源管理程序》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及《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培训管理制度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》。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规定了从事质量、环境、安全管理方面人员的资源需求、岗位能力要求、职权的规定、培训需求以及对人员的培训管理等，确保人员数量、能力能满足体系的运行要求，基本有效。编制“岗位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任职资格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”，规定了公司领导、部门领导、各级人员等关于质量、环境和职业健康安全工作的任职要求以及岗位职责等，对整体人员需求、能力要求及作用进行规定，其中对重要岗位人员的能力要求进行了评定，确保人员满足岗位要求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抽办公室主任、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供销部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经理等岗位，符合规定。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提供了《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岗位任职情况评定记录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》，从符合岗位任职要求，业绩评分，工作表现，出勤率方面进行了评价。抽孙红丹、张集体、张宁宁等人的评价，符合要求，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能满足岗位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需求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质检员、内审员均经过任命，提供了任命书。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办公室通过制订培训计划，组织培训或招聘等形式，确保各岗位人员满足这些需求。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查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“20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年度培训计划”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根据需求指定了培训计划，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覆盖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体系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标准、体系文件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、生产操作规程，检验规程安全生产、产品知识培训、内审员培训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等方面。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提供了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培训记录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：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——抽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20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22.6.26，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培训题目：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基础知识、体系标准，应知内容等培训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；培训方式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：讲课，参加培训人员：张集体、孙红丹、张增茂、张宁宁、李成、李畅、王同等全体人员；记录内容包括：培训内容摘要、考核方式和成绩、培训有效性评价。培训有效率100%。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——抽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2022.7.11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培训题目：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体系文件培训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；培训方式：讲课，包括：培训内容摘要、考核方式和成绩、培训有效性评价。培训有效率100%。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现场询问办公室人员，能回答出公司的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方针和本岗位的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目标，能通过培训提高岗位作业水平和环境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/安全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意识，明确各岗位要求，自身工作对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质量/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环境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/安全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目标的影响，以及如何通过培训和互相交流提高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质量/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环境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/安全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绩效等。</w:t>
            </w:r>
          </w:p>
        </w:tc>
        <w:tc>
          <w:tcPr>
            <w:tcW w:w="317" w:type="pct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7" w:type="pct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沟通、参与和协商</w:t>
            </w:r>
          </w:p>
          <w:p>
            <w:pP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员工的参与和协商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E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7.4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O5.4</w:t>
            </w:r>
          </w:p>
          <w:p>
            <w:pP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19" w:type="pct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编制了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《信息交流控制程序》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规定了企业内、外部沟通和员工就职业健康安全事务参与、协商的要求，经查阅和交谈符合标准要求。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总经理负责在公司建立畅通的沟通渠道。管理者代表是公司内部和外部信息交流和沟通的负责人。办公室是公司内部和外部信息交流和协商的归口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部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门。负责与上级主管部门及周边单位的信息交流。办公室负责与管理体系、法律法规等有关的内部和外部信息交流。生产技术部负责与设备设施维保方之间的信息交流。供销部复杂与采购供方、客户等相关方之间的沟通。各部门收集到有关职业健康安全方面的信息，包括法律法规等，及时向办公室反馈。目前各项沟通都较为及时、顺畅、效果较好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经全体员工大会选举，并公司任命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王同工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同志为公司安全事务代表，代表全体员工直接向总经理反映职业健康安全方面的相关情况，反映员工的意见。负责内部员工职业健康安全信息的交流与沟通，参与公司管理方针和管理目标的制定，参与安全事故的处理等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  与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王同工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GB"/>
              </w:rPr>
              <w:t>座谈，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清楚自己的职责：负责向管理层反映职工职业健康安全管理方面的要求，对事件的调查、处理，职工劳动防护的改善事宜进行协商交流；参与职业安全健康方针、目标、指标、管理方案的制定工作，提出合理化建议。</w:t>
            </w:r>
          </w:p>
          <w:p>
            <w:pP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通过员工代表的积极争取，员工的劳保用品得到合理配备并及时发放；每年为一线岗位人员体检一次；员工保险得到按时交纳等。</w:t>
            </w:r>
          </w:p>
        </w:tc>
        <w:tc>
          <w:tcPr>
            <w:tcW w:w="317" w:type="pct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517" w:type="pct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文件化信息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E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7.5</w:t>
            </w:r>
          </w:p>
          <w:p>
            <w:pP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19" w:type="pct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受审核方建立的管理体系文件包括：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1.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管理手册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》RYLS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SC-2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022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/0版，20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月1日发表实施（含管理方针、目标）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2.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程序文件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》RYLS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CX-2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022 B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/0版，含23个标准要求的程序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3.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作业文件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》RYLS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-ZY-2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022 B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/0版，包括：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岗位任职资格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培训管理制度、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火灾应急预案、触电事故应急预案、员工职业健康及劳动保护管理规定、培训管理制度、能源使用管理规定等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17个作业文件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4.体系运行所需要的记录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编制了《文件控制程序》用于对管理体系文件，符合标准要求。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查看《文件发放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回收登记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表》，内容包括：文件名称，文件编号，接收部门，分发序号，接收人/日期，回收/日期。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查办公室管理手册的发放，文件编号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RYLS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SC-2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022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/0版，分发号0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，接收人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孙红丹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《文件控制程序》规定，所有作废文件加盖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“作废”标识，由办公室统一封存。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查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管理手册、管理制度等文件均保管良好，为有效版本，有受控标识。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负责收集有关产品的国家标准、行业标准的最新版本，分发到相关部门使用。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查见《外来文件清单》，内容包括：序号、文件名称、编号、版本等。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共登记有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产品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质量法、 GB/T19001-2016《质量管理体系要求》、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安全生产法、消防法、TB1459-1983YG型钢轨引接线；Q/CR 424-2014 AD型道岔跳线、Q/CR 781-2020 ZPW-2000系列轨道电路补偿电容器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等。收集基本全面，基本符合。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以上外来文件保管良好，均为有效版本。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编制了《记录控制程序》用于对记录的管理，符合标准要求。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查见《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管理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记录清单》，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包括各种体系运行所需记录共计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85种，清单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内容包括：序号、记录名称、编号、保存期等。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共登记有文件发放登记表、培训记录表、目标指标资金投入计划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管理评审计划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管理评审报告等。保存期限分别为三年和长期。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抽查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文件发放登记表、培训记录表、受控文件清单，固体废弃物处置记录，填写及保管符合要求。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各部门保存各记录，按时间整理，放置在文件柜中，以便检索，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定期对其进行检查，目前保存完好。名称，编号构成记录的唯一性标识。</w:t>
            </w:r>
          </w:p>
          <w:p>
            <w:pP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介绍：尚未销毁记录，如有，由办公室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按记录控制程序有关要求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进行。</w:t>
            </w:r>
          </w:p>
        </w:tc>
        <w:tc>
          <w:tcPr>
            <w:tcW w:w="317" w:type="pct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7" w:type="pct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运行控制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E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8.1</w:t>
            </w:r>
          </w:p>
          <w:p>
            <w:pP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19" w:type="pct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本部门应执行的运行控制文件：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运行控制程序》《废弃物控制程序》《噪声控制程序》《消防控制程序》《设备控制程序》《劳动防护用品控制程序》《资源能源控制程序》《安全防火规程》《能源使用管理规定》《产品搬运、储存、防护操作规程》等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GB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GB"/>
              </w:rPr>
              <w:t>运行控制情况：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GB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GB"/>
              </w:rPr>
              <w:t>办公过程注意节约用电，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GB" w:eastAsia="zh-CN"/>
              </w:rPr>
              <w:t>不长明灯，不长流水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GB"/>
              </w:rPr>
              <w:t>，电脑长时间不用时关机，下班前要关闭电源；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办公过程使用的电器如：空调、电脑、灯具均符合安全设计要求，使用过程注意安全，预防触电，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GB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工作时间平均每天8小时；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GB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GB"/>
              </w:rPr>
              <w:t>办公用品按要求由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办公室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GB"/>
              </w:rPr>
              <w:t>负责发放，作好记录；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GB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GB"/>
              </w:rPr>
              <w:t>公司办公产生的废硒鼓、废墨盒、色带由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GB" w:eastAsia="zh-CN"/>
              </w:rPr>
              <w:t>供应商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GB"/>
              </w:rPr>
              <w:t>回收；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GB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办公室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GB"/>
              </w:rPr>
              <w:t>每天巡视现场，对环境安全事宜进行检查，发现问题当即纠正；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GB"/>
              </w:rPr>
              <w:t>每月进行检查统计分析，查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20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.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1-6月份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检查记录，各部门运行情况良好。检查人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孙红丹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等。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GB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GB" w:eastAsia="zh-CN"/>
              </w:rPr>
              <w:t>固废处置：提供了《固体废弃物分类表》及《固体废弃物处置/回收记录》，办公垃圾、车间垃圾、生活垃圾、废弃防疫物资、危废分类处置。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公司为员工缴纳了工伤保险，提供了缴纳保险的证据。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每年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组织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为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一线员工进行体检。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提供《劳保用品发放记录》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，定期为员工发放劳保用品，包括：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线手套、洗衣粉、胶手套、口罩、创口贴 、纱布、线手套、胶手套，记录了发放时间、领用人等，发放人：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孙红丹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驾驶员要求遵守道路交通安全法，不违章驾车，驾驶证和车辆定期年审，确保行车安全；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提供了《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202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年公司环境保护职业健康安全保护资金投入计划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：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用于园区绿化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1000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厂房安全设施，灭火器等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1500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工作服、口罩等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800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排风扇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500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消防设施的规范使用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600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市政排水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900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搬运、清理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2000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环境监测费用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2000</w:t>
            </w:r>
          </w:p>
          <w:p>
            <w:pP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查看办公区域配备有符合要求的灭火器等，办公室设备、电器状态良好，无安全隐患。</w:t>
            </w:r>
          </w:p>
        </w:tc>
        <w:tc>
          <w:tcPr>
            <w:tcW w:w="317" w:type="pct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</w:rPr>
            </w:pPr>
          </w:p>
          <w:p>
            <w:pPr>
              <w:rPr>
                <w:rFonts w:hint="eastAsia" w:ascii="楷体" w:hAnsi="楷体" w:eastAsia="楷体" w:cs="楷体"/>
              </w:rPr>
            </w:pPr>
          </w:p>
          <w:p>
            <w:pPr>
              <w:rPr>
                <w:rFonts w:hint="eastAsia" w:ascii="楷体" w:hAnsi="楷体" w:eastAsia="楷体" w:cs="楷体"/>
              </w:rPr>
            </w:pPr>
          </w:p>
          <w:p>
            <w:pPr>
              <w:rPr>
                <w:rFonts w:hint="eastAsia" w:ascii="楷体" w:hAnsi="楷体" w:eastAsia="楷体" w:cs="楷体"/>
              </w:rPr>
            </w:pPr>
          </w:p>
          <w:p>
            <w:pPr>
              <w:rPr>
                <w:rFonts w:hint="eastAsia" w:ascii="楷体" w:hAnsi="楷体" w:eastAsia="楷体" w:cs="楷体"/>
              </w:rPr>
            </w:pPr>
          </w:p>
          <w:p>
            <w:pPr>
              <w:rPr>
                <w:rFonts w:hint="eastAsia" w:ascii="楷体" w:hAnsi="楷体" w:eastAsia="楷体" w:cs="楷体"/>
              </w:rPr>
            </w:pPr>
          </w:p>
          <w:p>
            <w:pPr>
              <w:rPr>
                <w:rFonts w:hint="eastAsia" w:ascii="楷体" w:hAnsi="楷体" w:eastAsia="楷体" w:cs="楷体"/>
              </w:rPr>
            </w:pPr>
          </w:p>
          <w:p>
            <w:pPr>
              <w:rPr>
                <w:rFonts w:hint="eastAsia" w:ascii="楷体" w:hAnsi="楷体" w:eastAsia="楷体" w:cs="楷体"/>
              </w:rPr>
            </w:pPr>
          </w:p>
          <w:p>
            <w:pPr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Y</w:t>
            </w:r>
          </w:p>
          <w:p>
            <w:pPr>
              <w:rPr>
                <w:rFonts w:hint="eastAsia" w:ascii="楷体" w:hAnsi="楷体" w:eastAsia="楷体" w:cs="楷体"/>
              </w:rPr>
            </w:pPr>
          </w:p>
          <w:p>
            <w:pPr>
              <w:rPr>
                <w:rFonts w:hint="eastAsia" w:ascii="楷体" w:hAnsi="楷体" w:eastAsia="楷体" w:cs="楷体"/>
              </w:rPr>
            </w:pPr>
          </w:p>
          <w:p>
            <w:pPr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517" w:type="pct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应急准备和响应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E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8.2</w:t>
            </w:r>
          </w:p>
          <w:p>
            <w:pP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19" w:type="pct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1、查策划有《应急准备与响应控制程序》，编制有《火灾事故应急预案》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触电事故应急预案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》《疫情防控应急预案》等应急预案。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2、应急准备工作开展以下活动：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——建立有应急组织，提供出应急组织机构图、消防队人员名单、职责权限规定等。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——配备相应的消防器材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和急救物资。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——进行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了应急预案的培训，事故处理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能力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，急救能力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的培训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3、该部门介绍开展了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应急演练的过程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和人员紧急疏散演练活动：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4、提供有应急演练计划和应急演练记录：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——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抽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202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.0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.12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日公司组织了火灾事故应急演练，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演练参加人员：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公司全体人员；演练前对全体人员进行了培训，有事故发生后的具体处置记录，记录人：孙红丹；演练结束后进行了评价，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演练效果评价记录：《应急准备和响应控制程序》适合火灾演练需要，每年演练不少于一次。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zh-CN"/>
              </w:rPr>
              <w:t>查看办公区域配置了灭火器，在有效压力范围内。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另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zh-CN"/>
              </w:rPr>
              <w:t>202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zh-CN"/>
              </w:rPr>
              <w:t>年0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zh-CN"/>
              </w:rPr>
              <w:t>月20日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组织生技部进行了机械伤害事故应急演练，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202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月15日 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组织生技部进行了触电事故应急演练，具体见生技部审核记录。</w:t>
            </w:r>
          </w:p>
        </w:tc>
        <w:tc>
          <w:tcPr>
            <w:tcW w:w="317" w:type="pct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517" w:type="pct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绩效的监视和测量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E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O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9.1.1</w:t>
            </w:r>
          </w:p>
          <w:p>
            <w:pP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19" w:type="pct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执行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《监视和测量控制程序》，通过以下几种方式对运行过程绩效进行监视和测量：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●该公司对管理体系过程进行监视和测量的方法包括：内审、管理评审、目标考核、过程的监视和测量检查等。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内审、管理评审、目标考核详见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9.2/9.3/6.2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的审核记录.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每月进行一次过程的监视和测量的检查，发现问题立即整改。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查见20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22年1-6月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《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过程监视和测量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记录》，内容包括：部门、检查内容、检查方法、检查结果、检查人、检查日期。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日常监督检查：管代负责对各部门的职业健康安全行为进行不定期的巡检。巡检内容包括：生产现场管理情况、防护用品的使用情况、消防设施状况等。对发现的问题提出整改要求，责任部门整改，办公室验证整改效果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●环境绩效监测：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办公区卫生间废水排入城市管网。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一般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办公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固废（废纸张等），按规定收集，卖给废品收购站。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车间一般固废（废玻璃钢下脚料等），定期处理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车间危废（废活性炭、废油等）定期交给有资质单位回收。</w:t>
            </w:r>
          </w:p>
          <w:p>
            <w:pPr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提供了危废处置协议，处理单位：石家庄先立群环保科技有限公司，合同期限：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2021年9月28日至2022年9月27日；</w:t>
            </w:r>
          </w:p>
          <w:p>
            <w:pPr>
              <w:rPr>
                <w:rFonts w:hint="default" w:eastAsia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危废转移联单：废物名称：废活性炭，移出量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0.063吨，起运时间：2021年12月6日，到达时间：2021年12月7日；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u w:val="none"/>
                <w:lang w:val="en-US" w:eastAsia="zh-CN"/>
              </w:rPr>
              <w:t>提供了《固定污染源排污登记回执》，编号：911131124551867364K001Z，有效期至2025年7月29日。</w:t>
            </w:r>
          </w:p>
          <w:p>
            <w:pPr>
              <w:rPr>
                <w:rFonts w:hint="default" w:ascii="楷体" w:hAnsi="楷体" w:eastAsia="楷体" w:cs="楷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u w:val="none"/>
                <w:lang w:val="en-US" w:eastAsia="zh-CN"/>
              </w:rPr>
              <w:t>提供环境验收检测报告，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2020年8月，提供了验收意见。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u w:val="none"/>
                <w:lang w:val="en-US" w:eastAsia="zh-CN"/>
              </w:rPr>
              <w:t>提供2021年8月环境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《检测报告》</w:t>
            </w:r>
            <w:r>
              <w:rPr>
                <w:rFonts w:hint="eastAsia"/>
              </w:rPr>
              <w:t>编号：</w:t>
            </w:r>
            <w:r>
              <w:rPr>
                <w:rFonts w:hint="eastAsia"/>
                <w:lang w:val="en-US" w:eastAsia="zh-CN"/>
              </w:rPr>
              <w:t>HP21080283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，显示废气、噪声排放达标。详见附件。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被动监测：自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体系运行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以来没有发生过环境污染事故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●职业健康安全监测：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主动监测：职业健康安全目标指标：已完成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被动监测：每年对一线员工进行体检，体检单位：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饶阳县人民医院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，体检日期：20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日，结论：未见异常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；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自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体系运行以来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没有发生过安全事故。</w:t>
            </w:r>
          </w:p>
          <w:p>
            <w:pP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●监测设备：公司暂无环境、职业健康安全监测设备。</w:t>
            </w:r>
          </w:p>
        </w:tc>
        <w:tc>
          <w:tcPr>
            <w:tcW w:w="317" w:type="pct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517" w:type="pct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合规性评价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E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9.1.2</w:t>
            </w:r>
          </w:p>
          <w:p>
            <w:pP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19" w:type="pct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执行《合规性评价控制程序》。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查合规性评价：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参加合规性评价的人员包括：管理者代表，公司内部审核员，各部门负责人等。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20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日进行合规性评价，提供了《合规性评价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记录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》，内容包括：适用的法律法规及其对应条款、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执行情况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等。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提供了《合规性评价报告》，包括评价时间、范围、目的、依据等，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评价了相关的法律法规，涉及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污水、能源的使用和消耗、安全生产（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火灾、机械伤害、触电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、）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固废排放、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废气排放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紧急情况、职业健康安全管理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方面；</w:t>
            </w:r>
          </w:p>
          <w:p>
            <w:pP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  <w:t>合规性评价结论：</w:t>
            </w:r>
          </w:p>
          <w:p>
            <w:pPr>
              <w:rPr>
                <w:rFonts w:hint="default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  <w:t>公司各部门能够有效遵循法律法规进行生产，未发生过环境、职业健康安全事件，未有其他单位和个人投诉，无环境、职业健康安全事件发生。审批：张集体，2022.5.30。</w:t>
            </w:r>
          </w:p>
        </w:tc>
        <w:tc>
          <w:tcPr>
            <w:tcW w:w="317" w:type="pct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517" w:type="pct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分析与评价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Q9.1.3</w:t>
            </w:r>
          </w:p>
        </w:tc>
        <w:tc>
          <w:tcPr>
            <w:tcW w:w="3819" w:type="pct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查通过体系运行所进行监视和测量结果的分析评价：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1.产品的符合性：通过原材料进货检验、生产过程控制、成品检验及不合格品的控制达到产品的符合性；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2.顾客满意程度：每年对客户进行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两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次顾客满意度调查，经统计顾客满意度达到9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%，达到了预期目标；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3.供应商绩效：每月统计供应商交付绩效，由采购员填写供应商绩效统计表。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4.质量管理绩效和有效性：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对操作者：每月进行工时定额考核，奖惩分明；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对公司：a.遵章守法，严格执行客户提供的产品图纸，不断满足客户潜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在的要求，赢得市场，赢得效益；b.通过内审、管评，不断改进完善质量管理体系运行；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5.体系策划的有效实施；详见上述1-4条内容；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6.针对识别出的风险和机遇采取了相应的措施；⑴拓展销售渠道，向南方、山东市场延伸；⑵增加产品宣传的力度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此项措施正在组织实施中。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7.外部供方的绩效进行评价：从产品质量、交货期、价格、售后服务等方面基本满足要求，且主要原材料已与供货方建立了长期的合作供需关系。</w:t>
            </w:r>
          </w:p>
          <w:p>
            <w:pP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8.管理体系改进的需求：通过体系运行，产品的符合性、内审、管评的有效性及企业持续改进，不断完善各项软硬件环境，提高产品质量，满足客户需求。</w:t>
            </w:r>
          </w:p>
        </w:tc>
        <w:tc>
          <w:tcPr>
            <w:tcW w:w="317" w:type="pct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7" w:hRule="atLeast"/>
        </w:trPr>
        <w:tc>
          <w:tcPr>
            <w:tcW w:w="517" w:type="pct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内部审核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Q</w:t>
            </w:r>
            <w:r>
              <w:rPr>
                <w:rFonts w:hint="eastAsia" w:ascii="楷体" w:hAnsi="楷体" w:eastAsia="楷体" w:cs="楷体"/>
              </w:rPr>
              <w:t>E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O</w:t>
            </w:r>
            <w:r>
              <w:rPr>
                <w:rFonts w:hint="eastAsia" w:ascii="楷体" w:hAnsi="楷体" w:eastAsia="楷体" w:cs="楷体"/>
              </w:rPr>
              <w:t>9.2</w:t>
            </w:r>
          </w:p>
          <w:p>
            <w:pPr>
              <w:rPr>
                <w:rFonts w:hint="eastAsia" w:ascii="楷体" w:hAnsi="楷体" w:eastAsia="楷体" w:cs="楷体"/>
                <w:lang w:val="en-US" w:eastAsia="zh-CN"/>
              </w:rPr>
            </w:pPr>
          </w:p>
        </w:tc>
        <w:tc>
          <w:tcPr>
            <w:tcW w:w="3819" w:type="pct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编制了《内审控制程序》，符合标准要求。</w:t>
            </w:r>
          </w:p>
          <w:p>
            <w:pPr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经查问：总经理、管代、各部门主管均参加了内部审核。</w:t>
            </w:r>
          </w:p>
          <w:p>
            <w:pPr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20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22.6.27-28</w:t>
            </w:r>
            <w:r>
              <w:rPr>
                <w:rFonts w:hint="eastAsia" w:ascii="楷体" w:hAnsi="楷体" w:eastAsia="楷体" w:cs="楷体"/>
              </w:rPr>
              <w:t>开展管理体系内部审核活动，并提供有以下内审的资料：</w:t>
            </w:r>
          </w:p>
          <w:p>
            <w:pPr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——</w:t>
            </w:r>
            <w:r>
              <w:rPr>
                <w:rFonts w:hint="eastAsia" w:ascii="楷体" w:hAnsi="楷体" w:eastAsia="楷体" w:cs="楷体"/>
                <w:lang w:eastAsia="zh-CN"/>
              </w:rPr>
              <w:t>提供</w:t>
            </w:r>
            <w:r>
              <w:rPr>
                <w:rFonts w:hint="eastAsia" w:ascii="楷体" w:hAnsi="楷体" w:eastAsia="楷体" w:cs="楷体"/>
              </w:rPr>
              <w:t>《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内部</w:t>
            </w:r>
            <w:r>
              <w:rPr>
                <w:rFonts w:hint="eastAsia" w:ascii="楷体" w:hAnsi="楷体" w:eastAsia="楷体" w:cs="楷体"/>
              </w:rPr>
              <w:t>审核计划》，编制：办公室   审核：孙红丹  批准：张集体  日期：202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</w:rPr>
              <w:t>-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</w:rPr>
              <w:t>-01</w:t>
            </w:r>
          </w:p>
          <w:p>
            <w:pPr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计划中规定审核的目的、依据、范围、时间、审核安排；</w:t>
            </w:r>
          </w:p>
          <w:p>
            <w:pPr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审核组组长：</w:t>
            </w:r>
            <w:r>
              <w:rPr>
                <w:rFonts w:hint="eastAsia" w:ascii="楷体" w:hAnsi="楷体" w:eastAsia="楷体" w:cs="楷体"/>
                <w:szCs w:val="22"/>
                <w:lang w:eastAsia="zh-CN"/>
              </w:rPr>
              <w:t>张集体</w:t>
            </w:r>
            <w:r>
              <w:rPr>
                <w:rFonts w:hint="eastAsia" w:ascii="楷体" w:hAnsi="楷体" w:eastAsia="楷体" w:cs="楷体"/>
              </w:rPr>
              <w:t>，组员：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孙红丹、李畅，内审员经过了培训；</w:t>
            </w:r>
          </w:p>
          <w:p>
            <w:pPr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计划中没有漏标准条款、没有遗漏体系覆盖的部门和场所，内审员没有审核自己的工作。</w:t>
            </w:r>
          </w:p>
          <w:p>
            <w:pPr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——</w:t>
            </w:r>
            <w:r>
              <w:rPr>
                <w:rFonts w:hint="eastAsia" w:ascii="楷体" w:hAnsi="楷体" w:eastAsia="楷体" w:cs="楷体"/>
                <w:lang w:eastAsia="zh-CN"/>
              </w:rPr>
              <w:t>提供</w:t>
            </w:r>
            <w:r>
              <w:rPr>
                <w:rFonts w:hint="eastAsia" w:ascii="楷体" w:hAnsi="楷体" w:eastAsia="楷体" w:cs="楷体"/>
              </w:rPr>
              <w:t>内审首末次会议签到（领导层、各部门负责人）；</w:t>
            </w:r>
          </w:p>
          <w:p>
            <w:pPr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——</w:t>
            </w:r>
            <w:r>
              <w:rPr>
                <w:rFonts w:hint="eastAsia" w:ascii="楷体" w:hAnsi="楷体" w:eastAsia="楷体" w:cs="楷体"/>
                <w:lang w:eastAsia="zh-CN"/>
              </w:rPr>
              <w:t>查看</w:t>
            </w:r>
            <w:r>
              <w:rPr>
                <w:rFonts w:hint="eastAsia" w:ascii="楷体" w:hAnsi="楷体" w:eastAsia="楷体" w:cs="楷体"/>
              </w:rPr>
              <w:t>内部审核检查表，审核按计划进行，没有遗漏标准条款及体系覆盖的部门和场所，内审员没有审核自己的工作。</w:t>
            </w:r>
          </w:p>
          <w:p>
            <w:pPr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</w:rPr>
              <w:t>——本次内审发现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</w:rPr>
              <w:t>项不合格，为一般不符合项，</w:t>
            </w:r>
            <w:r>
              <w:rPr>
                <w:rFonts w:hint="eastAsia" w:ascii="楷体" w:hAnsi="楷体" w:eastAsia="楷体" w:cs="楷体"/>
                <w:lang w:eastAsia="zh-CN"/>
              </w:rPr>
              <w:t>分布在办公室（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O8.2</w:t>
            </w:r>
            <w:r>
              <w:rPr>
                <w:rFonts w:hint="eastAsia" w:ascii="楷体" w:hAnsi="楷体" w:eastAsia="楷体" w:cs="楷体"/>
                <w:lang w:eastAsia="zh-CN"/>
              </w:rPr>
              <w:t>）和生技部（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O8.1.2</w:t>
            </w:r>
            <w:r>
              <w:rPr>
                <w:rFonts w:hint="eastAsia" w:ascii="楷体" w:hAnsi="楷体" w:eastAsia="楷体" w:cs="楷体"/>
                <w:lang w:eastAsia="zh-CN"/>
              </w:rPr>
              <w:t>），</w:t>
            </w:r>
            <w:r>
              <w:rPr>
                <w:rFonts w:hint="eastAsia" w:ascii="楷体" w:hAnsi="楷体" w:eastAsia="楷体" w:cs="楷体"/>
              </w:rPr>
              <w:t>查看《不符合报告》，不符合事实描述清晰，不符合原因分析准确，并制定了纠正及纠正预防措施，且措施可行，并对其有效性进行了验证</w:t>
            </w:r>
          </w:p>
          <w:p>
            <w:pPr>
              <w:rPr>
                <w:rFonts w:hint="eastAsia" w:ascii="楷体" w:hAnsi="楷体" w:eastAsia="楷体" w:cs="楷体"/>
                <w:lang w:val="en-US"/>
              </w:rPr>
            </w:pPr>
            <w:r>
              <w:rPr>
                <w:rFonts w:hint="eastAsia" w:ascii="楷体" w:hAnsi="楷体" w:eastAsia="楷体" w:cs="楷体"/>
              </w:rPr>
              <w:t>——本次内审编制有《内部审核报告》，结论：本次内审在各部门的支持和配合下，内审组能够较系统地对公司进行检查，认为公司质量环境职业健康安全体系运行基本良好，运行达到一定的效果，基本符合GB/19001-2016；GB/24001-2016；GB/45001-2020标准的要求，但仍存在不足，各部门应举一反三，对类似问题予以整改。</w:t>
            </w:r>
          </w:p>
        </w:tc>
        <w:tc>
          <w:tcPr>
            <w:tcW w:w="317" w:type="pct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517" w:type="pct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不符合和纠正措施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E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10.2</w:t>
            </w:r>
          </w:p>
          <w:p>
            <w:pPr>
              <w:rPr>
                <w:rFonts w:hint="eastAsia" w:ascii="楷体" w:hAnsi="楷体" w:eastAsia="楷体" w:cs="楷体"/>
              </w:rPr>
            </w:pPr>
          </w:p>
        </w:tc>
        <w:tc>
          <w:tcPr>
            <w:tcW w:w="3819" w:type="pct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对日常工作检查，管理评审，内审，其他考评，合规性评价发现的不符合及质量、环境的事件采取纠正，防止事态发展，进行原因分析，采取必要的纠正预防措施，防止事件的发生、再发生。</w:t>
            </w:r>
          </w:p>
          <w:p>
            <w:pPr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对管理评审、内审提出的不符合及改进要求，进行原因分析，制定了具体措施，目前已实施完成。</w:t>
            </w:r>
          </w:p>
        </w:tc>
        <w:tc>
          <w:tcPr>
            <w:tcW w:w="317" w:type="pct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</w:rPr>
            </w:pPr>
          </w:p>
        </w:tc>
      </w:tr>
    </w:tbl>
    <w:p>
      <w:pPr>
        <w:pStyle w:val="7"/>
        <w:rPr>
          <w:rFonts w:hint="eastAsia"/>
        </w:rPr>
      </w:pPr>
    </w:p>
    <w:p>
      <w:pPr>
        <w:pStyle w:val="7"/>
        <w:rPr>
          <w:rFonts w:hint="eastAsia"/>
          <w:lang w:eastAsia="zh-CN"/>
        </w:rPr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7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7"/>
        <w:rFonts w:hint="default"/>
      </w:rPr>
      <w:t>北京国标联合认证有限公司</w:t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</w:p>
  <w:p>
    <w:pPr>
      <w:pStyle w:val="8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7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06B6D1F"/>
    <w:rsid w:val="01910A08"/>
    <w:rsid w:val="01D36A1E"/>
    <w:rsid w:val="01EC5C3E"/>
    <w:rsid w:val="02B20C36"/>
    <w:rsid w:val="02D05D23"/>
    <w:rsid w:val="033C49A3"/>
    <w:rsid w:val="036D2DAF"/>
    <w:rsid w:val="03E047D4"/>
    <w:rsid w:val="04C37035"/>
    <w:rsid w:val="05A14F91"/>
    <w:rsid w:val="0617661D"/>
    <w:rsid w:val="062F6A41"/>
    <w:rsid w:val="06E415DA"/>
    <w:rsid w:val="06F76370"/>
    <w:rsid w:val="072F4F4B"/>
    <w:rsid w:val="0757624F"/>
    <w:rsid w:val="08E972AA"/>
    <w:rsid w:val="0A415C80"/>
    <w:rsid w:val="0AA1093E"/>
    <w:rsid w:val="0B183CC0"/>
    <w:rsid w:val="0B3D750A"/>
    <w:rsid w:val="0B4B7E79"/>
    <w:rsid w:val="0C9E222B"/>
    <w:rsid w:val="0D4C612B"/>
    <w:rsid w:val="0E4A7F2A"/>
    <w:rsid w:val="0EBB3568"/>
    <w:rsid w:val="0EFD592E"/>
    <w:rsid w:val="0F5D63CD"/>
    <w:rsid w:val="0F784FB5"/>
    <w:rsid w:val="100146D5"/>
    <w:rsid w:val="10D40D6D"/>
    <w:rsid w:val="12B84468"/>
    <w:rsid w:val="12FC3082"/>
    <w:rsid w:val="130A23C8"/>
    <w:rsid w:val="135A0648"/>
    <w:rsid w:val="15851C37"/>
    <w:rsid w:val="15F15EE9"/>
    <w:rsid w:val="16CD5BE6"/>
    <w:rsid w:val="1811509D"/>
    <w:rsid w:val="18155A97"/>
    <w:rsid w:val="18414ADE"/>
    <w:rsid w:val="18D86AC4"/>
    <w:rsid w:val="18DA0ABF"/>
    <w:rsid w:val="198F7ACB"/>
    <w:rsid w:val="1AAF5F6A"/>
    <w:rsid w:val="1B102545"/>
    <w:rsid w:val="1BC53917"/>
    <w:rsid w:val="1BCB709E"/>
    <w:rsid w:val="1CF85987"/>
    <w:rsid w:val="1D355362"/>
    <w:rsid w:val="1DAD6772"/>
    <w:rsid w:val="1E4C1AE7"/>
    <w:rsid w:val="1F4948B4"/>
    <w:rsid w:val="20601879"/>
    <w:rsid w:val="20745325"/>
    <w:rsid w:val="21BF0821"/>
    <w:rsid w:val="22056B7C"/>
    <w:rsid w:val="22431452"/>
    <w:rsid w:val="224D0523"/>
    <w:rsid w:val="22BA66F6"/>
    <w:rsid w:val="23902DE5"/>
    <w:rsid w:val="251A293E"/>
    <w:rsid w:val="252F26B7"/>
    <w:rsid w:val="26B772D7"/>
    <w:rsid w:val="27385F8E"/>
    <w:rsid w:val="277327DA"/>
    <w:rsid w:val="27B21B89"/>
    <w:rsid w:val="27B8715C"/>
    <w:rsid w:val="27D112AE"/>
    <w:rsid w:val="27F3419F"/>
    <w:rsid w:val="28504E67"/>
    <w:rsid w:val="288D1679"/>
    <w:rsid w:val="28A544DC"/>
    <w:rsid w:val="29A96C5C"/>
    <w:rsid w:val="29B80978"/>
    <w:rsid w:val="29E16E5C"/>
    <w:rsid w:val="2A1E2046"/>
    <w:rsid w:val="2A7423E6"/>
    <w:rsid w:val="2AB0164F"/>
    <w:rsid w:val="2B465B0F"/>
    <w:rsid w:val="2CAC3151"/>
    <w:rsid w:val="2D504B9E"/>
    <w:rsid w:val="2D9C1BCC"/>
    <w:rsid w:val="2E4E3659"/>
    <w:rsid w:val="2FBC45F2"/>
    <w:rsid w:val="303B19BB"/>
    <w:rsid w:val="30AC4667"/>
    <w:rsid w:val="30FD3EF5"/>
    <w:rsid w:val="31615451"/>
    <w:rsid w:val="3194017B"/>
    <w:rsid w:val="32284A16"/>
    <w:rsid w:val="32367471"/>
    <w:rsid w:val="325B0F32"/>
    <w:rsid w:val="33BB353F"/>
    <w:rsid w:val="343263EC"/>
    <w:rsid w:val="34963664"/>
    <w:rsid w:val="34C277A8"/>
    <w:rsid w:val="35611EC4"/>
    <w:rsid w:val="359702F7"/>
    <w:rsid w:val="36455341"/>
    <w:rsid w:val="3676374D"/>
    <w:rsid w:val="37AF33BA"/>
    <w:rsid w:val="37C87FD8"/>
    <w:rsid w:val="3872263A"/>
    <w:rsid w:val="39C2541D"/>
    <w:rsid w:val="3AA479A0"/>
    <w:rsid w:val="3C975423"/>
    <w:rsid w:val="3CCD43CE"/>
    <w:rsid w:val="3CEA279F"/>
    <w:rsid w:val="3D2739F3"/>
    <w:rsid w:val="3E097DBF"/>
    <w:rsid w:val="3E300685"/>
    <w:rsid w:val="3F88629F"/>
    <w:rsid w:val="40C1415E"/>
    <w:rsid w:val="410A1661"/>
    <w:rsid w:val="41572C26"/>
    <w:rsid w:val="41AB4DAE"/>
    <w:rsid w:val="424B1F31"/>
    <w:rsid w:val="425C5EED"/>
    <w:rsid w:val="425F396C"/>
    <w:rsid w:val="44713000"/>
    <w:rsid w:val="44D5342A"/>
    <w:rsid w:val="45034D45"/>
    <w:rsid w:val="45521829"/>
    <w:rsid w:val="466730B2"/>
    <w:rsid w:val="469841DE"/>
    <w:rsid w:val="46C04776"/>
    <w:rsid w:val="46FA3F26"/>
    <w:rsid w:val="47990E08"/>
    <w:rsid w:val="48AC2FFE"/>
    <w:rsid w:val="49697402"/>
    <w:rsid w:val="49A5461D"/>
    <w:rsid w:val="49F44C5D"/>
    <w:rsid w:val="4B50167F"/>
    <w:rsid w:val="4B693428"/>
    <w:rsid w:val="4C4874E2"/>
    <w:rsid w:val="4C52210E"/>
    <w:rsid w:val="4CC44379"/>
    <w:rsid w:val="4D3A32CE"/>
    <w:rsid w:val="4D534390"/>
    <w:rsid w:val="4D770B5F"/>
    <w:rsid w:val="4DB841F3"/>
    <w:rsid w:val="4EEA0D24"/>
    <w:rsid w:val="4F624D5E"/>
    <w:rsid w:val="4FDA2B47"/>
    <w:rsid w:val="506D39BB"/>
    <w:rsid w:val="51183927"/>
    <w:rsid w:val="515B7CB7"/>
    <w:rsid w:val="51C27D36"/>
    <w:rsid w:val="524B2A87"/>
    <w:rsid w:val="527F3531"/>
    <w:rsid w:val="52B2697B"/>
    <w:rsid w:val="542C1497"/>
    <w:rsid w:val="5520724E"/>
    <w:rsid w:val="55480552"/>
    <w:rsid w:val="56FF0F04"/>
    <w:rsid w:val="577E188F"/>
    <w:rsid w:val="58CD4FF7"/>
    <w:rsid w:val="59C75EEA"/>
    <w:rsid w:val="5A957D96"/>
    <w:rsid w:val="5AB0697E"/>
    <w:rsid w:val="5ABA77FD"/>
    <w:rsid w:val="5B417F1E"/>
    <w:rsid w:val="5C4902CE"/>
    <w:rsid w:val="5C5D2B35"/>
    <w:rsid w:val="5CFC234E"/>
    <w:rsid w:val="5DF11787"/>
    <w:rsid w:val="5E0D6B87"/>
    <w:rsid w:val="5FF76DFD"/>
    <w:rsid w:val="606F2E37"/>
    <w:rsid w:val="608E7761"/>
    <w:rsid w:val="61770C9D"/>
    <w:rsid w:val="61775359"/>
    <w:rsid w:val="62225DCE"/>
    <w:rsid w:val="63334363"/>
    <w:rsid w:val="63507954"/>
    <w:rsid w:val="63AB5534"/>
    <w:rsid w:val="64622E98"/>
    <w:rsid w:val="651B533C"/>
    <w:rsid w:val="65242442"/>
    <w:rsid w:val="65344A90"/>
    <w:rsid w:val="662F7E8A"/>
    <w:rsid w:val="6716400D"/>
    <w:rsid w:val="68330BEE"/>
    <w:rsid w:val="68D4417F"/>
    <w:rsid w:val="69320EA6"/>
    <w:rsid w:val="69717C20"/>
    <w:rsid w:val="6AA54025"/>
    <w:rsid w:val="6AC7705F"/>
    <w:rsid w:val="6B150F0B"/>
    <w:rsid w:val="6B5D66AE"/>
    <w:rsid w:val="6BAC4F3F"/>
    <w:rsid w:val="6CF675C5"/>
    <w:rsid w:val="6DB4632D"/>
    <w:rsid w:val="6DF9325F"/>
    <w:rsid w:val="6F3E67F6"/>
    <w:rsid w:val="6F7D7049"/>
    <w:rsid w:val="6F871F4B"/>
    <w:rsid w:val="70ED14C5"/>
    <w:rsid w:val="71066EA0"/>
    <w:rsid w:val="71A05546"/>
    <w:rsid w:val="71C81E4D"/>
    <w:rsid w:val="71FD4747"/>
    <w:rsid w:val="72A42E14"/>
    <w:rsid w:val="72F53670"/>
    <w:rsid w:val="744877CF"/>
    <w:rsid w:val="75220020"/>
    <w:rsid w:val="75C83CC5"/>
    <w:rsid w:val="774921DC"/>
    <w:rsid w:val="788C7C2A"/>
    <w:rsid w:val="79065AB5"/>
    <w:rsid w:val="7A5C5D83"/>
    <w:rsid w:val="7B7517F2"/>
    <w:rsid w:val="7B876E2F"/>
    <w:rsid w:val="7BB874EA"/>
    <w:rsid w:val="7BF22E42"/>
    <w:rsid w:val="7D72364A"/>
    <w:rsid w:val="7D7F4C76"/>
    <w:rsid w:val="7D8201F6"/>
    <w:rsid w:val="7DE22A43"/>
    <w:rsid w:val="7E3A287F"/>
    <w:rsid w:val="7E906943"/>
    <w:rsid w:val="7F0629F4"/>
    <w:rsid w:val="7F645E05"/>
    <w:rsid w:val="7F815141"/>
    <w:rsid w:val="7F824372"/>
    <w:rsid w:val="7FF645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0"/>
    <w:pPr>
      <w:spacing w:after="120"/>
    </w:pPr>
    <w:rPr>
      <w:szCs w:val="24"/>
    </w:rPr>
  </w:style>
  <w:style w:type="paragraph" w:styleId="4">
    <w:name w:val="Block Text"/>
    <w:basedOn w:val="1"/>
    <w:qFormat/>
    <w:uiPriority w:val="0"/>
    <w:pPr>
      <w:ind w:left="1785" w:right="3407"/>
    </w:pPr>
    <w:rPr>
      <w:sz w:val="24"/>
    </w:rPr>
  </w:style>
  <w:style w:type="paragraph" w:styleId="5">
    <w:name w:val="Plain Text"/>
    <w:basedOn w:val="1"/>
    <w:qFormat/>
    <w:uiPriority w:val="0"/>
    <w:rPr>
      <w:rFonts w:ascii="宋体" w:hAnsi="Courier New"/>
      <w:szCs w:val="21"/>
    </w:r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next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paragraph" w:customStyle="1" w:styleId="13">
    <w:name w:val="正文 首行缩进:  2 字符"/>
    <w:basedOn w:val="1"/>
    <w:qFormat/>
    <w:uiPriority w:val="0"/>
    <w:pPr>
      <w:ind w:firstLine="200" w:firstLineChars="200"/>
    </w:pPr>
    <w:rPr>
      <w:rFonts w:cs="宋体"/>
      <w:sz w:val="24"/>
      <w:szCs w:val="20"/>
    </w:rPr>
  </w:style>
  <w:style w:type="character" w:customStyle="1" w:styleId="14">
    <w:name w:val="页眉 Char"/>
    <w:basedOn w:val="11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0</TotalTime>
  <ScaleCrop>false</ScaleCrop>
  <LinksUpToDate>false</LinksUpToDate>
  <CharactersWithSpaces>101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至鱼</cp:lastModifiedBy>
  <dcterms:modified xsi:type="dcterms:W3CDTF">2022-07-25T10:33:10Z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2052-11.1.0.11753</vt:lpwstr>
  </property>
</Properties>
</file>