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0038-2019-2022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陕西华强精密铸造有限公司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 xml:space="preserve">日 </w:t>
            </w:r>
            <w:r>
              <w:rPr>
                <w:rFonts w:hint="eastAsia"/>
                <w:lang w:val="en-US" w:eastAsia="zh-CN"/>
              </w:rPr>
              <w:t>下</w:t>
            </w:r>
            <w:r>
              <w:rPr>
                <w:rFonts w:hint="eastAsia"/>
              </w:rPr>
              <w:t>午至2022年0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日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YxMzRhY2VjMTkzYjI3NDE3NDIwNDhkOTI1ZDU5ZTcifQ=="/>
  </w:docVars>
  <w:rsids>
    <w:rsidRoot w:val="00000000"/>
    <w:rsid w:val="4B4928AE"/>
    <w:rsid w:val="542657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768</Words>
  <Characters>1026</Characters>
  <Lines>8</Lines>
  <Paragraphs>2</Paragraphs>
  <TotalTime>118</TotalTime>
  <ScaleCrop>false</ScaleCrop>
  <LinksUpToDate>false</LinksUpToDate>
  <CharactersWithSpaces>1097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LX</cp:lastModifiedBy>
  <dcterms:modified xsi:type="dcterms:W3CDTF">2022-08-09T07:47:34Z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85C0EFD563D04A10B2406DA5EEDD7C88</vt:lpwstr>
  </property>
</Properties>
</file>