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rPr>
              <w:t>主管领导：</w:t>
            </w:r>
            <w:bookmarkStart w:id="0" w:name="管理者代表"/>
            <w:r>
              <w:rPr>
                <w:rFonts w:hint="eastAsia"/>
                <w:sz w:val="24"/>
                <w:szCs w:val="24"/>
                <w:lang w:val="en-US" w:eastAsia="zh-CN"/>
              </w:rPr>
              <w:t>孙传鸿、</w:t>
            </w:r>
            <w:r>
              <w:rPr>
                <w:rFonts w:hint="eastAsia"/>
                <w:sz w:val="24"/>
                <w:szCs w:val="24"/>
              </w:rPr>
              <w:t>孙海兵</w:t>
            </w:r>
            <w:bookmarkEnd w:id="0"/>
            <w:r>
              <w:rPr>
                <w:rFonts w:hint="eastAsia"/>
                <w:sz w:val="24"/>
                <w:szCs w:val="24"/>
                <w:lang w:eastAsia="zh-CN"/>
              </w:rPr>
              <w:t>；</w:t>
            </w:r>
            <w:r>
              <w:rPr>
                <w:rFonts w:hint="eastAsia"/>
                <w:sz w:val="24"/>
                <w:szCs w:val="24"/>
              </w:rPr>
              <w:t>陪同人员：</w:t>
            </w:r>
            <w:r>
              <w:rPr>
                <w:rFonts w:hint="eastAsia"/>
                <w:sz w:val="24"/>
                <w:szCs w:val="24"/>
                <w:lang w:val="en-US" w:eastAsia="zh-CN"/>
              </w:rPr>
              <w:t>沈顺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w:t>
            </w:r>
            <w:bookmarkStart w:id="1" w:name="审核组成员不含组长"/>
            <w:bookmarkEnd w:id="1"/>
            <w:r>
              <w:rPr>
                <w:rFonts w:hint="eastAsia"/>
                <w:sz w:val="24"/>
                <w:szCs w:val="24"/>
                <w:lang w:val="en-US" w:eastAsia="zh-CN"/>
              </w:rPr>
              <w:t>周文/远程，电话、微信；</w:t>
            </w:r>
            <w:r>
              <w:rPr>
                <w:rFonts w:hint="eastAsia"/>
                <w:sz w:val="24"/>
                <w:szCs w:val="24"/>
              </w:rPr>
              <w:t>审核时间：</w:t>
            </w:r>
            <w:bookmarkStart w:id="2" w:name="审核日期"/>
            <w:r>
              <w:rPr>
                <w:sz w:val="24"/>
                <w:szCs w:val="24"/>
              </w:rPr>
              <w:t>2022年07月11日</w:t>
            </w:r>
            <w:bookmarkEnd w:id="2"/>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tabs>
                <w:tab w:val="left" w:pos="709"/>
              </w:tabs>
              <w:ind w:right="57"/>
              <w:jc w:val="left"/>
              <w:rPr>
                <w:rFonts w:hint="eastAsia"/>
                <w:sz w:val="24"/>
                <w:szCs w:val="24"/>
              </w:rPr>
            </w:pPr>
            <w:r>
              <w:rPr>
                <w:rFonts w:hint="eastAsia"/>
                <w:sz w:val="24"/>
                <w:szCs w:val="24"/>
              </w:rPr>
              <w:t>审核条款：</w:t>
            </w:r>
          </w:p>
          <w:p>
            <w:pPr>
              <w:tabs>
                <w:tab w:val="left" w:pos="709"/>
              </w:tabs>
              <w:ind w:right="57"/>
              <w:jc w:val="left"/>
              <w:rPr>
                <w:rFonts w:hint="default"/>
                <w:sz w:val="24"/>
                <w:szCs w:val="24"/>
                <w:lang w:val="en-US" w:eastAsia="zh-CN"/>
              </w:rPr>
            </w:pPr>
            <w:r>
              <w:rPr>
                <w:rFonts w:hint="eastAsia"/>
                <w:sz w:val="24"/>
                <w:szCs w:val="24"/>
              </w:rPr>
              <w:t>QMS：4.1</w:t>
            </w:r>
            <w:r>
              <w:rPr>
                <w:rFonts w:hint="eastAsia"/>
                <w:sz w:val="24"/>
                <w:szCs w:val="24"/>
                <w:lang w:val="en-US" w:eastAsia="zh-CN"/>
              </w:rPr>
              <w:t>/</w:t>
            </w:r>
            <w:r>
              <w:rPr>
                <w:rFonts w:hint="eastAsia"/>
                <w:sz w:val="24"/>
                <w:szCs w:val="24"/>
              </w:rPr>
              <w:t xml:space="preserve"> 4.2</w:t>
            </w:r>
            <w:r>
              <w:rPr>
                <w:rFonts w:hint="eastAsia"/>
                <w:sz w:val="24"/>
                <w:szCs w:val="24"/>
                <w:lang w:val="en-US" w:eastAsia="zh-CN"/>
              </w:rPr>
              <w:t>/</w:t>
            </w:r>
            <w:r>
              <w:rPr>
                <w:rFonts w:hint="eastAsia"/>
                <w:sz w:val="24"/>
                <w:szCs w:val="24"/>
              </w:rPr>
              <w:t xml:space="preserve"> 4.3</w:t>
            </w:r>
            <w:r>
              <w:rPr>
                <w:rFonts w:hint="eastAsia"/>
                <w:sz w:val="24"/>
                <w:szCs w:val="24"/>
                <w:lang w:val="en-US" w:eastAsia="zh-CN"/>
              </w:rPr>
              <w:t>/</w:t>
            </w:r>
            <w:r>
              <w:rPr>
                <w:rFonts w:hint="eastAsia"/>
                <w:sz w:val="24"/>
                <w:szCs w:val="24"/>
              </w:rPr>
              <w:t xml:space="preserve"> 4.4 </w:t>
            </w:r>
            <w:r>
              <w:rPr>
                <w:rFonts w:hint="eastAsia"/>
                <w:sz w:val="24"/>
                <w:szCs w:val="24"/>
                <w:lang w:val="en-US" w:eastAsia="zh-CN"/>
              </w:rPr>
              <w:t>/</w:t>
            </w:r>
            <w:r>
              <w:rPr>
                <w:sz w:val="24"/>
                <w:szCs w:val="24"/>
              </w:rPr>
              <w:t>5.2</w:t>
            </w:r>
            <w:r>
              <w:rPr>
                <w:rFonts w:hint="eastAsia"/>
                <w:sz w:val="24"/>
                <w:szCs w:val="24"/>
                <w:lang w:val="en-US" w:eastAsia="zh-CN"/>
              </w:rPr>
              <w:t>/</w:t>
            </w:r>
            <w:r>
              <w:rPr>
                <w:sz w:val="24"/>
                <w:szCs w:val="24"/>
              </w:rPr>
              <w:t>5.3</w:t>
            </w:r>
            <w:r>
              <w:rPr>
                <w:rFonts w:hint="eastAsia"/>
                <w:sz w:val="24"/>
                <w:szCs w:val="24"/>
                <w:lang w:val="en-US" w:eastAsia="zh-CN"/>
              </w:rPr>
              <w:t>/6.1/6.2/</w:t>
            </w:r>
            <w:r>
              <w:rPr>
                <w:sz w:val="24"/>
                <w:szCs w:val="24"/>
              </w:rPr>
              <w:t>6.3</w:t>
            </w:r>
            <w:r>
              <w:rPr>
                <w:rFonts w:hint="eastAsia"/>
                <w:sz w:val="24"/>
                <w:szCs w:val="24"/>
                <w:lang w:val="en-US" w:eastAsia="zh-CN"/>
              </w:rPr>
              <w:t>/9.3</w:t>
            </w:r>
          </w:p>
          <w:p>
            <w:pPr>
              <w:tabs>
                <w:tab w:val="left" w:pos="709"/>
              </w:tabs>
              <w:ind w:right="57"/>
              <w:jc w:val="left"/>
              <w:rPr>
                <w:rFonts w:hint="default"/>
                <w:sz w:val="24"/>
                <w:szCs w:val="24"/>
                <w:lang w:val="en-US" w:eastAsia="zh-CN"/>
              </w:rPr>
            </w:pPr>
            <w:r>
              <w:rPr>
                <w:rFonts w:hint="eastAsia"/>
                <w:sz w:val="24"/>
                <w:szCs w:val="24"/>
              </w:rPr>
              <w:t xml:space="preserve">EMS：4.1 </w:t>
            </w:r>
            <w:r>
              <w:rPr>
                <w:rFonts w:hint="eastAsia"/>
                <w:sz w:val="24"/>
                <w:szCs w:val="24"/>
                <w:lang w:val="en-US" w:eastAsia="zh-CN"/>
              </w:rPr>
              <w:t>/</w:t>
            </w:r>
            <w:r>
              <w:rPr>
                <w:rFonts w:hint="eastAsia"/>
                <w:sz w:val="24"/>
                <w:szCs w:val="24"/>
              </w:rPr>
              <w:t>4.2</w:t>
            </w:r>
            <w:r>
              <w:rPr>
                <w:rFonts w:hint="eastAsia"/>
                <w:sz w:val="24"/>
                <w:szCs w:val="24"/>
                <w:lang w:val="en-US" w:eastAsia="zh-CN"/>
              </w:rPr>
              <w:t>/</w:t>
            </w:r>
            <w:r>
              <w:rPr>
                <w:rFonts w:hint="eastAsia"/>
                <w:sz w:val="24"/>
                <w:szCs w:val="24"/>
              </w:rPr>
              <w:t xml:space="preserve"> 4.3 </w:t>
            </w:r>
            <w:r>
              <w:rPr>
                <w:rFonts w:hint="eastAsia"/>
                <w:sz w:val="24"/>
                <w:szCs w:val="24"/>
                <w:lang w:val="en-US" w:eastAsia="zh-CN"/>
              </w:rPr>
              <w:t>/</w:t>
            </w:r>
            <w:r>
              <w:rPr>
                <w:rFonts w:hint="eastAsia"/>
                <w:sz w:val="24"/>
                <w:szCs w:val="24"/>
              </w:rPr>
              <w:t xml:space="preserve">4.4 </w:t>
            </w:r>
            <w:r>
              <w:rPr>
                <w:rFonts w:hint="eastAsia"/>
                <w:sz w:val="24"/>
                <w:szCs w:val="24"/>
                <w:lang w:val="en-US" w:eastAsia="zh-CN"/>
              </w:rPr>
              <w:t>/</w:t>
            </w:r>
            <w:r>
              <w:rPr>
                <w:rFonts w:hint="eastAsia"/>
                <w:sz w:val="24"/>
                <w:szCs w:val="24"/>
              </w:rPr>
              <w:t xml:space="preserve"> 5.2 </w:t>
            </w:r>
            <w:r>
              <w:rPr>
                <w:rFonts w:hint="eastAsia"/>
                <w:sz w:val="24"/>
                <w:szCs w:val="24"/>
                <w:lang w:val="en-US" w:eastAsia="zh-CN"/>
              </w:rPr>
              <w:t>/</w:t>
            </w:r>
            <w:r>
              <w:rPr>
                <w:rFonts w:hint="eastAsia"/>
                <w:sz w:val="24"/>
                <w:szCs w:val="24"/>
              </w:rPr>
              <w:t xml:space="preserve">5.3 </w:t>
            </w:r>
            <w:r>
              <w:rPr>
                <w:rFonts w:hint="eastAsia"/>
                <w:sz w:val="24"/>
                <w:szCs w:val="24"/>
                <w:lang w:val="en-US" w:eastAsia="zh-CN"/>
              </w:rPr>
              <w:t>/</w:t>
            </w:r>
            <w:r>
              <w:rPr>
                <w:rFonts w:hint="eastAsia"/>
                <w:sz w:val="24"/>
                <w:szCs w:val="24"/>
              </w:rPr>
              <w:t>6.1</w:t>
            </w:r>
            <w:r>
              <w:rPr>
                <w:rFonts w:hint="eastAsia"/>
                <w:sz w:val="24"/>
                <w:szCs w:val="24"/>
                <w:lang w:val="en-US" w:eastAsia="zh-CN"/>
              </w:rPr>
              <w:t>.1/</w:t>
            </w:r>
            <w:r>
              <w:rPr>
                <w:rFonts w:hint="eastAsia"/>
                <w:sz w:val="24"/>
                <w:szCs w:val="24"/>
              </w:rPr>
              <w:t xml:space="preserve">6.2 </w:t>
            </w:r>
            <w:r>
              <w:rPr>
                <w:rFonts w:hint="eastAsia"/>
                <w:sz w:val="24"/>
                <w:szCs w:val="24"/>
                <w:lang w:val="en-US" w:eastAsia="zh-CN"/>
              </w:rPr>
              <w:t>/</w:t>
            </w:r>
            <w:r>
              <w:rPr>
                <w:rFonts w:hint="eastAsia"/>
                <w:sz w:val="24"/>
                <w:szCs w:val="24"/>
              </w:rPr>
              <w:t xml:space="preserve">7.1 </w:t>
            </w:r>
            <w:r>
              <w:rPr>
                <w:rFonts w:hint="eastAsia"/>
                <w:sz w:val="24"/>
                <w:szCs w:val="24"/>
                <w:lang w:val="en-US" w:eastAsia="zh-CN"/>
              </w:rPr>
              <w:t>/</w:t>
            </w:r>
            <w:r>
              <w:rPr>
                <w:rFonts w:hint="eastAsia"/>
                <w:sz w:val="24"/>
                <w:szCs w:val="24"/>
              </w:rPr>
              <w:t>9.3</w:t>
            </w:r>
          </w:p>
          <w:p>
            <w:pPr>
              <w:rPr>
                <w:rFonts w:hint="eastAsia"/>
                <w:sz w:val="24"/>
                <w:szCs w:val="24"/>
              </w:rPr>
            </w:pPr>
            <w:r>
              <w:rPr>
                <w:rFonts w:hint="eastAsia"/>
                <w:sz w:val="24"/>
                <w:szCs w:val="24"/>
              </w:rPr>
              <w:t xml:space="preserve">OHS：4.1 </w:t>
            </w:r>
            <w:r>
              <w:rPr>
                <w:rFonts w:hint="eastAsia"/>
                <w:sz w:val="24"/>
                <w:szCs w:val="24"/>
                <w:lang w:val="en-US" w:eastAsia="zh-CN"/>
              </w:rPr>
              <w:t>/</w:t>
            </w:r>
            <w:r>
              <w:rPr>
                <w:rFonts w:hint="eastAsia"/>
                <w:sz w:val="24"/>
                <w:szCs w:val="24"/>
              </w:rPr>
              <w:t>4.2</w:t>
            </w:r>
            <w:r>
              <w:rPr>
                <w:rFonts w:hint="eastAsia"/>
                <w:sz w:val="24"/>
                <w:szCs w:val="24"/>
                <w:lang w:val="en-US" w:eastAsia="zh-CN"/>
              </w:rPr>
              <w:t>/</w:t>
            </w:r>
            <w:r>
              <w:rPr>
                <w:rFonts w:hint="eastAsia"/>
                <w:sz w:val="24"/>
                <w:szCs w:val="24"/>
              </w:rPr>
              <w:t xml:space="preserve"> 4.3 </w:t>
            </w:r>
            <w:r>
              <w:rPr>
                <w:rFonts w:hint="eastAsia"/>
                <w:sz w:val="24"/>
                <w:szCs w:val="24"/>
                <w:lang w:val="en-US" w:eastAsia="zh-CN"/>
              </w:rPr>
              <w:t>/</w:t>
            </w:r>
            <w:r>
              <w:rPr>
                <w:rFonts w:hint="eastAsia"/>
                <w:sz w:val="24"/>
                <w:szCs w:val="24"/>
              </w:rPr>
              <w:t xml:space="preserve">4.4 </w:t>
            </w:r>
            <w:r>
              <w:rPr>
                <w:rFonts w:hint="eastAsia"/>
                <w:sz w:val="24"/>
                <w:szCs w:val="24"/>
                <w:lang w:val="en-US" w:eastAsia="zh-CN"/>
              </w:rPr>
              <w:t>/</w:t>
            </w:r>
            <w:r>
              <w:rPr>
                <w:rFonts w:hint="eastAsia"/>
                <w:sz w:val="24"/>
                <w:szCs w:val="24"/>
              </w:rPr>
              <w:t xml:space="preserve"> 5.2 </w:t>
            </w:r>
            <w:r>
              <w:rPr>
                <w:rFonts w:hint="eastAsia"/>
                <w:sz w:val="24"/>
                <w:szCs w:val="24"/>
                <w:lang w:val="en-US" w:eastAsia="zh-CN"/>
              </w:rPr>
              <w:t>/</w:t>
            </w:r>
            <w:r>
              <w:rPr>
                <w:rFonts w:hint="eastAsia"/>
                <w:sz w:val="24"/>
                <w:szCs w:val="24"/>
              </w:rPr>
              <w:t xml:space="preserve">5.3 </w:t>
            </w:r>
            <w:r>
              <w:rPr>
                <w:rFonts w:hint="eastAsia"/>
                <w:sz w:val="24"/>
                <w:szCs w:val="24"/>
                <w:lang w:val="en-US" w:eastAsia="zh-CN"/>
              </w:rPr>
              <w:t>/</w:t>
            </w:r>
            <w:r>
              <w:rPr>
                <w:rFonts w:hint="eastAsia"/>
                <w:sz w:val="24"/>
                <w:szCs w:val="24"/>
              </w:rPr>
              <w:t>6.1</w:t>
            </w:r>
            <w:r>
              <w:rPr>
                <w:rFonts w:hint="eastAsia"/>
                <w:sz w:val="24"/>
                <w:szCs w:val="24"/>
                <w:lang w:val="en-US" w:eastAsia="zh-CN"/>
              </w:rPr>
              <w:t>.1/</w:t>
            </w:r>
            <w:r>
              <w:rPr>
                <w:rFonts w:hint="eastAsia"/>
                <w:sz w:val="24"/>
                <w:szCs w:val="24"/>
              </w:rPr>
              <w:t xml:space="preserve">6.2 </w:t>
            </w:r>
            <w:r>
              <w:rPr>
                <w:rFonts w:hint="eastAsia"/>
                <w:sz w:val="24"/>
                <w:szCs w:val="24"/>
                <w:lang w:val="en-US" w:eastAsia="zh-CN"/>
              </w:rPr>
              <w:t>/</w:t>
            </w:r>
            <w:r>
              <w:rPr>
                <w:rFonts w:hint="eastAsia"/>
                <w:sz w:val="24"/>
                <w:szCs w:val="24"/>
              </w:rPr>
              <w:t xml:space="preserve">7.1 </w:t>
            </w:r>
            <w:r>
              <w:rPr>
                <w:rFonts w:hint="eastAsia"/>
                <w:sz w:val="24"/>
                <w:szCs w:val="24"/>
                <w:lang w:val="en-US" w:eastAsia="zh-CN"/>
              </w:rPr>
              <w:t>/</w:t>
            </w:r>
            <w:r>
              <w:rPr>
                <w:rFonts w:hint="eastAsia"/>
                <w:sz w:val="24"/>
                <w:szCs w:val="24"/>
              </w:rPr>
              <w:t>9.3</w:t>
            </w:r>
          </w:p>
          <w:p>
            <w:pPr>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（内外部因素、相关方的需求和期望、体系策划过程、管理承诺相关过程、风险识别和评价过程、职责分配过程、资源提供过程、管理评审过程）</w:t>
            </w:r>
          </w:p>
          <w:p>
            <w:pPr>
              <w:pStyle w:val="17"/>
              <w:rPr>
                <w:sz w:val="24"/>
                <w:szCs w:val="24"/>
              </w:rPr>
            </w:pPr>
            <w:r>
              <w:rPr>
                <w:rFonts w:hint="eastAsia" w:ascii="宋体" w:hAnsi="宋体" w:eastAsia="宋体" w:cs="宋体"/>
                <w:sz w:val="24"/>
                <w:szCs w:val="24"/>
                <w:lang w:val="en-US" w:eastAsia="zh-CN"/>
              </w:rPr>
              <w:t>对初审不符合问题整改情况的确认；事故事件及起处理情况，质量、环境安全监测情况、使用情况等；</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 w:val="24"/>
                <w:szCs w:val="24"/>
              </w:rPr>
            </w:pPr>
            <w:r>
              <w:rPr>
                <w:rFonts w:hint="eastAsia" w:ascii="宋体" w:hAnsi="宋体" w:eastAsia="宋体" w:cs="Times New Roman"/>
                <w:b w:val="0"/>
                <w:bCs w:val="0"/>
                <w:sz w:val="24"/>
                <w:szCs w:val="24"/>
                <w:lang w:val="en-US" w:eastAsia="zh-CN"/>
              </w:rPr>
              <w:t>总</w:t>
            </w:r>
            <w:r>
              <w:rPr>
                <w:rFonts w:hint="eastAsia" w:ascii="宋体" w:hAnsi="宋体" w:eastAsia="宋体" w:cs="宋体"/>
                <w:sz w:val="24"/>
                <w:szCs w:val="24"/>
                <w:lang w:val="en-US" w:eastAsia="zh-CN"/>
              </w:rPr>
              <w:t>内外部因素、相关方的需求和期望、风险识别和评价过程、体系策划过程</w:t>
            </w:r>
          </w:p>
        </w:tc>
        <w:tc>
          <w:tcPr>
            <w:tcW w:w="960" w:type="dxa"/>
          </w:tcPr>
          <w:p>
            <w:pPr>
              <w:rPr>
                <w:rFonts w:hint="eastAsia"/>
                <w:sz w:val="24"/>
                <w:szCs w:val="24"/>
              </w:rPr>
            </w:pPr>
            <w:r>
              <w:rPr>
                <w:rFonts w:hint="eastAsia"/>
                <w:sz w:val="24"/>
                <w:szCs w:val="24"/>
                <w:lang w:val="en-US" w:eastAsia="zh-CN"/>
              </w:rPr>
              <w:t>QES</w:t>
            </w:r>
            <w:r>
              <w:rPr>
                <w:rFonts w:hint="eastAsia"/>
                <w:sz w:val="24"/>
                <w:szCs w:val="24"/>
              </w:rPr>
              <w:t>4.1</w:t>
            </w:r>
            <w:r>
              <w:rPr>
                <w:rFonts w:hint="eastAsia"/>
                <w:sz w:val="24"/>
                <w:szCs w:val="24"/>
                <w:lang w:eastAsia="zh-CN"/>
              </w:rPr>
              <w:t>、</w:t>
            </w:r>
            <w:r>
              <w:rPr>
                <w:rFonts w:hint="eastAsia"/>
                <w:sz w:val="24"/>
                <w:szCs w:val="24"/>
              </w:rPr>
              <w:t>4.2</w:t>
            </w:r>
            <w:r>
              <w:rPr>
                <w:rFonts w:hint="eastAsia"/>
                <w:sz w:val="24"/>
                <w:szCs w:val="24"/>
                <w:lang w:eastAsia="zh-CN"/>
              </w:rPr>
              <w:t>、</w:t>
            </w:r>
            <w:r>
              <w:rPr>
                <w:rFonts w:hint="eastAsia"/>
                <w:sz w:val="24"/>
                <w:szCs w:val="24"/>
                <w:lang w:val="en-US" w:eastAsia="zh-CN"/>
              </w:rPr>
              <w:t>4.4、</w:t>
            </w:r>
            <w:r>
              <w:rPr>
                <w:rFonts w:hint="eastAsia"/>
                <w:sz w:val="24"/>
                <w:szCs w:val="24"/>
              </w:rPr>
              <w:t>6.1</w:t>
            </w:r>
          </w:p>
          <w:p>
            <w:pPr>
              <w:pStyle w:val="5"/>
              <w:ind w:left="0" w:leftChars="0" w:firstLine="0" w:firstLineChars="0"/>
              <w:rPr>
                <w:rFonts w:hint="default" w:eastAsia="宋体"/>
                <w:sz w:val="24"/>
                <w:szCs w:val="24"/>
                <w:lang w:val="en-US" w:eastAsia="zh-CN"/>
              </w:rPr>
            </w:pPr>
            <w:r>
              <w:rPr>
                <w:rFonts w:hint="eastAsia" w:ascii="宋体" w:hAnsi="宋体"/>
                <w:sz w:val="24"/>
                <w:szCs w:val="24"/>
                <w:lang w:val="en-US" w:eastAsia="zh-CN"/>
              </w:rPr>
              <w:t>Q6.3</w:t>
            </w:r>
          </w:p>
        </w:tc>
        <w:tc>
          <w:tcPr>
            <w:tcW w:w="10004" w:type="dxa"/>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法人：孙传鸿；总经理：孙传鸿；管代：孙海兵</w:t>
            </w:r>
          </w:p>
          <w:p>
            <w:pPr>
              <w:pStyle w:val="18"/>
              <w:spacing w:line="276"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南京淳兴物业服务有限公司于2015年05月成立，公司以“做客户最信赖的物业管理服务企业”为使命，秉承“用心服务，尽善尽美；始于用户需求，终于用户满意”的服务精神，依托“稳健发展，追求卓越，打造精品，创建品牌”的经营理念，创立了具有多元化发展的物业服务公司。</w:t>
            </w:r>
          </w:p>
          <w:p>
            <w:pPr>
              <w:pStyle w:val="18"/>
              <w:spacing w:line="276" w:lineRule="auto"/>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公司承接保洁、园林绿化养护等多项物业服务；目前公司已与多个政府机关、园林物业等物业项目进行合作。</w:t>
            </w:r>
          </w:p>
          <w:p>
            <w:pPr>
              <w:pStyle w:val="3"/>
              <w:numPr>
                <w:numId w:val="0"/>
              </w:numPr>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w:t>
            </w:r>
            <w:r>
              <w:rPr>
                <w:rFonts w:hint="eastAsia" w:ascii="Calibri" w:hAnsi="Calibri" w:eastAsia="宋体" w:cs="Times New Roman"/>
                <w:kern w:val="2"/>
                <w:sz w:val="24"/>
                <w:szCs w:val="24"/>
                <w:lang w:val="en-US" w:eastAsia="zh-CN" w:bidi="ar-SA"/>
              </w:rPr>
              <w:t>公司法人兼总经理孙传鸿，在其组织策划下开展建立质量管理体系。体系覆盖人数40人；于2021年1月5日颁布并实施了质量、环境、职业健康安全管理体系文件，体系文件包括有管理手册、方针/目标、程序文件、作业文件以及体系运行所需的记录等。查阅其手册及程序文件等，其体系文件按照依据 GB/T19001-2016 IDT ISO9001：2015  GB/T24001-2016 IDT ISO14001：2015  GB/T45001-2020 IDT ISO45001：2018 标准编制；公司严格按照顾客</w:t>
            </w:r>
            <w:r>
              <w:rPr>
                <w:rFonts w:hint="eastAsia" w:ascii="Calibri" w:hAnsi="Calibri" w:cs="Times New Roman"/>
                <w:kern w:val="2"/>
                <w:sz w:val="24"/>
                <w:szCs w:val="24"/>
                <w:lang w:val="en-US" w:eastAsia="zh-CN" w:bidi="ar-SA"/>
              </w:rPr>
              <w:t>要求及相关法规</w:t>
            </w:r>
            <w:r>
              <w:rPr>
                <w:rFonts w:hint="eastAsia" w:ascii="Calibri" w:hAnsi="Calibri" w:eastAsia="宋体" w:cs="Times New Roman"/>
                <w:kern w:val="2"/>
                <w:sz w:val="24"/>
                <w:szCs w:val="24"/>
                <w:lang w:val="en-US" w:eastAsia="zh-CN" w:bidi="ar-SA"/>
              </w:rPr>
              <w:t>提供产品和服务，无设计开发环节，故标准中“8.3 产品和服务的设计和开发”条款不适用本公司，不使用本条款后不影响本公司为顾客提供合格产品的责任。因此该公司文件化质量管理体系覆盖标准全条款。</w:t>
            </w:r>
          </w:p>
          <w:p>
            <w:pPr>
              <w:pStyle w:val="3"/>
              <w:numPr>
                <w:numId w:val="0"/>
              </w:num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策划的业务流程：</w:t>
            </w:r>
          </w:p>
          <w:p>
            <w:pPr>
              <w:bidi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物业管理服务（保洁，绿化）：投标中标——总结并重新对项目进行分析——确定新的作业目标定位——制定新的作业标准——重新划分作业区域和任务——重新调配作业力量分配任务——落实任务签订责任状——开始新一轮作业实施——考核循环</w:t>
            </w:r>
          </w:p>
          <w:p>
            <w:pPr>
              <w:pStyle w:val="3"/>
              <w:spacing w:line="240" w:lineRule="auto"/>
              <w:rPr>
                <w:rFonts w:hint="eastAsia" w:ascii="宋体" w:hAnsi="宋体" w:eastAsia="宋体" w:cs="Times New Roman"/>
                <w:color w:val="auto"/>
                <w:kern w:val="2"/>
                <w:sz w:val="24"/>
                <w:szCs w:val="24"/>
                <w:highlight w:val="yellow"/>
                <w:lang w:val="en-US" w:eastAsia="zh-CN" w:bidi="ar-SA"/>
              </w:rPr>
            </w:pPr>
            <w:r>
              <w:rPr>
                <w:rFonts w:hint="eastAsia" w:ascii="宋体" w:hAnsi="宋体" w:eastAsia="宋体" w:cs="Times New Roman"/>
                <w:color w:val="auto"/>
                <w:kern w:val="2"/>
                <w:sz w:val="24"/>
                <w:szCs w:val="24"/>
                <w:highlight w:val="none"/>
                <w:lang w:val="en-US" w:eastAsia="zh-CN" w:bidi="ar-SA"/>
              </w:rPr>
              <w:t>销售流程：</w:t>
            </w:r>
            <w:r>
              <w:rPr>
                <w:rFonts w:hint="eastAsia" w:ascii="宋体" w:hAnsi="宋体" w:eastAsia="宋体" w:cs="Times New Roman"/>
                <w:color w:val="auto"/>
                <w:sz w:val="24"/>
                <w:szCs w:val="24"/>
                <w:highlight w:val="none"/>
                <w:lang w:val="en-US" w:eastAsia="zh-CN"/>
              </w:rPr>
              <w:t>客户订单-合同评审-签订合同-确认订单-实施采购-进货检验-发货交付客户-售后服务；</w:t>
            </w:r>
          </w:p>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经识别和确认外包过程：无</w:t>
            </w:r>
          </w:p>
          <w:p>
            <w:pPr>
              <w:pStyle w:val="18"/>
              <w:spacing w:line="276" w:lineRule="auto"/>
              <w:rPr>
                <w:rFonts w:hint="eastAsia" w:ascii="Calibri" w:hAnsi="Calibri" w:eastAsia="宋体" w:cs="Times New Roman"/>
                <w:kern w:val="2"/>
                <w:sz w:val="24"/>
                <w:szCs w:val="24"/>
                <w:lang w:val="en-US" w:eastAsia="zh-CN" w:bidi="ar-SA"/>
              </w:rPr>
            </w:pPr>
          </w:p>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--提供有“南京淳兴物业服务有限公司战略环境SWOT分析矩阵”，识别了影响其实现QES管理体系预期结果的企业内外部环境因素。包括：政治/法律、市场、经济、员工等等。</w:t>
            </w:r>
          </w:p>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--出示有“</w:t>
            </w:r>
            <w:r>
              <w:rPr>
                <w:rFonts w:hint="default" w:ascii="Calibri" w:hAnsi="Calibri" w:eastAsia="宋体" w:cs="Times New Roman"/>
                <w:kern w:val="2"/>
                <w:sz w:val="24"/>
                <w:szCs w:val="24"/>
                <w:lang w:val="en-US" w:eastAsia="zh-CN" w:bidi="ar-SA"/>
              </w:rPr>
              <w:t>相关单位的需求和期望”</w:t>
            </w:r>
            <w:r>
              <w:rPr>
                <w:rFonts w:hint="eastAsia" w:ascii="Calibri" w:hAnsi="Calibri" w:eastAsia="宋体" w:cs="Times New Roman"/>
                <w:kern w:val="2"/>
                <w:sz w:val="24"/>
                <w:szCs w:val="24"/>
                <w:lang w:val="en-US" w:eastAsia="zh-CN" w:bidi="ar-SA"/>
              </w:rPr>
              <w:t>、“相关方环境安全要求规定”、“风险和机遇（综合版）”。对内外部环境、相关方要求和公司及各部门的风险和机遇进行了识别并制定了相应的控制措施；抽查质量风险和机遇及控制措施有：</w:t>
            </w:r>
          </w:p>
          <w:p>
            <w:pPr>
              <w:pStyle w:val="18"/>
              <w:spacing w:line="276" w:lineRule="auto"/>
              <w:rPr>
                <w:rFonts w:hint="eastAsia" w:ascii="Calibri" w:hAnsi="Calibri" w:eastAsia="宋体" w:cs="Times New Roman"/>
                <w:kern w:val="2"/>
                <w:sz w:val="24"/>
                <w:szCs w:val="24"/>
                <w:lang w:val="en-US" w:eastAsia="zh-CN" w:bidi="ar-SA"/>
              </w:rPr>
            </w:pPr>
          </w:p>
          <w:tbl>
            <w:tblPr>
              <w:tblStyle w:val="11"/>
              <w:tblW w:w="9474"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1125"/>
              <w:gridCol w:w="1216"/>
              <w:gridCol w:w="650"/>
              <w:gridCol w:w="650"/>
              <w:gridCol w:w="650"/>
              <w:gridCol w:w="650"/>
              <w:gridCol w:w="650"/>
              <w:gridCol w:w="828"/>
              <w:gridCol w:w="895"/>
              <w:gridCol w:w="1076"/>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内部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财务状况良好，资金充足。</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三级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财务监管</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总经理</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2022.01-2023.01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内部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公司人员多，相对流动性大。</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60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三级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人员招聘和培训</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综合部</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2022.01-2023.01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有效</w:t>
                  </w:r>
                </w:p>
              </w:tc>
            </w:tr>
          </w:tbl>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---变更的策划：</w:t>
            </w:r>
          </w:p>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总经理介绍，体系与上审核年度无变化。</w:t>
            </w:r>
          </w:p>
          <w:p>
            <w:pPr>
              <w:pStyle w:val="18"/>
              <w:spacing w:line="276" w:lineRule="auto"/>
              <w:rPr>
                <w:sz w:val="24"/>
                <w:szCs w:val="24"/>
              </w:rPr>
            </w:pPr>
            <w:r>
              <w:rPr>
                <w:rFonts w:hint="eastAsia" w:ascii="Calibri" w:hAnsi="Calibri" w:eastAsia="宋体" w:cs="Times New Roman"/>
                <w:kern w:val="2"/>
                <w:sz w:val="24"/>
                <w:szCs w:val="24"/>
                <w:lang w:val="en-US" w:eastAsia="zh-CN" w:bidi="ar-SA"/>
              </w:rPr>
              <w:t>——年度保持基本满足要求。</w:t>
            </w:r>
          </w:p>
        </w:tc>
        <w:tc>
          <w:tcPr>
            <w:tcW w:w="1585"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sz w:val="24"/>
                <w:szCs w:val="24"/>
              </w:rPr>
            </w:pPr>
            <w:r>
              <w:rPr>
                <w:rFonts w:hint="eastAsia" w:ascii="宋体" w:hAnsi="宋体" w:eastAsia="宋体" w:cs="宋体"/>
                <w:sz w:val="24"/>
                <w:szCs w:val="24"/>
                <w:lang w:val="en-US" w:eastAsia="zh-CN"/>
              </w:rPr>
              <w:t>体系范围</w:t>
            </w:r>
          </w:p>
        </w:tc>
        <w:tc>
          <w:tcPr>
            <w:tcW w:w="960" w:type="dxa"/>
          </w:tcPr>
          <w:p>
            <w:pPr>
              <w:rPr>
                <w:sz w:val="24"/>
                <w:szCs w:val="24"/>
              </w:rPr>
            </w:pPr>
            <w:r>
              <w:rPr>
                <w:rFonts w:hint="eastAsia"/>
                <w:sz w:val="24"/>
                <w:szCs w:val="24"/>
                <w:lang w:val="en-US" w:eastAsia="zh-CN"/>
              </w:rPr>
              <w:t>QES</w:t>
            </w:r>
            <w:r>
              <w:rPr>
                <w:rFonts w:hint="eastAsia"/>
                <w:sz w:val="24"/>
                <w:szCs w:val="24"/>
              </w:rPr>
              <w:t>4.3</w:t>
            </w:r>
          </w:p>
        </w:tc>
        <w:tc>
          <w:tcPr>
            <w:tcW w:w="10004" w:type="dxa"/>
          </w:tcPr>
          <w:p>
            <w:pPr>
              <w:pStyle w:val="18"/>
              <w:spacing w:line="276"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经确认：</w:t>
            </w:r>
          </w:p>
          <w:p>
            <w:pPr>
              <w:rPr>
                <w:rFonts w:hint="eastAsia" w:ascii="Calibri" w:hAnsi="Calibri" w:eastAsia="宋体" w:cs="Times New Roman"/>
                <w:kern w:val="2"/>
                <w:sz w:val="24"/>
                <w:szCs w:val="24"/>
                <w:lang w:val="en-US" w:eastAsia="zh-CN" w:bidi="ar-SA"/>
              </w:rPr>
            </w:pPr>
            <w:bookmarkStart w:id="3" w:name="审核范围"/>
            <w:r>
              <w:rPr>
                <w:rFonts w:hint="eastAsia" w:ascii="Calibri" w:hAnsi="Calibri" w:eastAsia="宋体" w:cs="Times New Roman"/>
                <w:kern w:val="2"/>
                <w:sz w:val="24"/>
                <w:szCs w:val="24"/>
                <w:lang w:val="en-US" w:eastAsia="zh-CN" w:bidi="ar-SA"/>
              </w:rPr>
              <w:t>Q：物业管理服务（保洁，绿化），建筑材料销售</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E：物业管理服务（保洁，绿化），建筑材料销售所涉及场所的相关环境管理活动</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O：物业管理服务（保洁，绿化），建筑材料销售所涉及场所的相关职业健康安全管理服务</w:t>
            </w:r>
            <w:bookmarkEnd w:id="3"/>
          </w:p>
          <w:p>
            <w:pPr>
              <w:pStyle w:val="17"/>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注册地址：南京市高淳区阳江镇高墩村八村208号</w:t>
            </w:r>
          </w:p>
          <w:p>
            <w:pPr>
              <w:pStyle w:val="17"/>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经营地址：南京市高淳区淳溪街道淳兴路10-8室</w:t>
            </w:r>
          </w:p>
          <w:p>
            <w:pPr>
              <w:pStyle w:val="17"/>
              <w:rPr>
                <w:rFonts w:hint="eastAsia" w:ascii="宋体" w:hAnsi="宋体" w:cs="宋体"/>
                <w:sz w:val="24"/>
                <w:szCs w:val="24"/>
                <w:lang w:val="en-US" w:eastAsia="zh-CN"/>
              </w:rPr>
            </w:pPr>
          </w:p>
        </w:tc>
        <w:tc>
          <w:tcPr>
            <w:tcW w:w="1585"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eastAsia="宋体"/>
                <w:sz w:val="24"/>
                <w:szCs w:val="24"/>
                <w:lang w:val="en-US" w:eastAsia="zh-CN"/>
              </w:rPr>
            </w:pPr>
            <w:r>
              <w:rPr>
                <w:rFonts w:hint="eastAsia"/>
                <w:sz w:val="24"/>
                <w:szCs w:val="24"/>
                <w:lang w:val="en-US" w:eastAsia="zh-CN"/>
              </w:rPr>
              <w:t>方针、目标、职责</w:t>
            </w:r>
          </w:p>
        </w:tc>
        <w:tc>
          <w:tcPr>
            <w:tcW w:w="960" w:type="dxa"/>
          </w:tcPr>
          <w:p>
            <w:pPr>
              <w:rPr>
                <w:rFonts w:hint="default" w:eastAsia="宋体"/>
                <w:sz w:val="24"/>
                <w:szCs w:val="24"/>
                <w:lang w:val="en-US" w:eastAsia="zh-CN"/>
              </w:rPr>
            </w:pPr>
            <w:r>
              <w:rPr>
                <w:rFonts w:hint="eastAsia"/>
                <w:sz w:val="24"/>
                <w:szCs w:val="24"/>
                <w:lang w:val="en-US" w:eastAsia="zh-CN"/>
              </w:rPr>
              <w:t>QES5.2、5.3、6.2</w:t>
            </w:r>
          </w:p>
        </w:tc>
        <w:tc>
          <w:tcPr>
            <w:tcW w:w="10004" w:type="dxa"/>
          </w:tcPr>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查管理手册中包括管理者代表任命书，并规定了其职责，管代口述职责，正确</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查管理手册中包括</w:t>
            </w:r>
            <w:r>
              <w:rPr>
                <w:rFonts w:hint="eastAsia" w:eastAsia="宋体" w:cs="Times New Roman"/>
                <w:sz w:val="24"/>
                <w:szCs w:val="24"/>
                <w:lang w:val="en-US" w:eastAsia="zh-CN"/>
              </w:rPr>
              <w:t>QES方针、</w:t>
            </w:r>
            <w:r>
              <w:rPr>
                <w:rFonts w:hint="eastAsia" w:ascii="Times New Roman" w:hAnsi="Times New Roman" w:eastAsia="宋体" w:cs="Times New Roman"/>
                <w:sz w:val="24"/>
                <w:szCs w:val="24"/>
              </w:rPr>
              <w:t>目标、组织机构、职责等</w:t>
            </w:r>
            <w:r>
              <w:rPr>
                <w:rFonts w:hint="eastAsia" w:ascii="Times New Roman" w:hAnsi="Times New Roman" w:eastAsia="宋体" w:cs="Times New Roman"/>
                <w:sz w:val="24"/>
                <w:szCs w:val="24"/>
                <w:lang w:eastAsia="zh-CN"/>
              </w:rPr>
              <w:t>。</w:t>
            </w:r>
          </w:p>
          <w:p>
            <w:pPr>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1.1质量环境及职业健康安全方针</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顾客至上，质量为先；强化管理，持续改进；</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环保美观，结构合理，关爱环境，预防污染</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关爱生命，关注安全，遵规守法，降低风险</w:t>
            </w:r>
            <w:r>
              <w:rPr>
                <w:rFonts w:hint="eastAsia" w:ascii="Times New Roman" w:hAnsi="Times New Roman" w:eastAsia="宋体" w:cs="Times New Roman"/>
                <w:sz w:val="24"/>
                <w:szCs w:val="24"/>
                <w:lang w:eastAsia="zh-CN"/>
              </w:rPr>
              <w:t>。</w:t>
            </w:r>
          </w:p>
          <w:p>
            <w:pPr>
              <w:spacing w:line="24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方针与公司战略相适宜。</w:t>
            </w:r>
          </w:p>
          <w:p>
            <w:pPr>
              <w:pStyle w:val="20"/>
              <w:rPr>
                <w:rFonts w:hint="eastAsia"/>
                <w:sz w:val="24"/>
                <w:szCs w:val="24"/>
                <w:lang w:val="en-US" w:eastAsia="zh-CN"/>
              </w:rPr>
            </w:pPr>
            <w:r>
              <w:rPr>
                <w:rFonts w:hint="eastAsia"/>
                <w:sz w:val="24"/>
                <w:szCs w:val="24"/>
                <w:lang w:val="en-US" w:eastAsia="zh-CN"/>
              </w:rPr>
              <w:t>---1.3目标</w:t>
            </w:r>
          </w:p>
          <w:p>
            <w:pPr>
              <w:pStyle w:val="20"/>
              <w:rPr>
                <w:rFonts w:hint="eastAsia"/>
                <w:sz w:val="24"/>
                <w:szCs w:val="24"/>
                <w:lang w:val="en-US" w:eastAsia="zh-CN"/>
              </w:rPr>
            </w:pPr>
            <w:r>
              <w:rPr>
                <w:rFonts w:hint="eastAsia"/>
                <w:sz w:val="24"/>
                <w:szCs w:val="24"/>
                <w:lang w:val="en-US" w:eastAsia="zh-CN"/>
              </w:rPr>
              <w:t>1.3.1 全公司的质量目标:</w:t>
            </w:r>
          </w:p>
          <w:p>
            <w:pPr>
              <w:pStyle w:val="20"/>
              <w:rPr>
                <w:rFonts w:hint="eastAsia"/>
                <w:sz w:val="24"/>
                <w:szCs w:val="24"/>
                <w:lang w:val="en-US" w:eastAsia="zh-CN"/>
              </w:rPr>
            </w:pPr>
            <w:r>
              <w:rPr>
                <w:rFonts w:hint="eastAsia"/>
                <w:sz w:val="24"/>
                <w:szCs w:val="24"/>
                <w:lang w:val="en-US" w:eastAsia="zh-CN"/>
              </w:rPr>
              <w:t>1、顾客满意率≥90%；</w:t>
            </w:r>
          </w:p>
          <w:p>
            <w:pPr>
              <w:pStyle w:val="20"/>
              <w:rPr>
                <w:rFonts w:hint="eastAsia"/>
                <w:sz w:val="24"/>
                <w:szCs w:val="24"/>
                <w:lang w:val="en-US" w:eastAsia="zh-CN"/>
              </w:rPr>
            </w:pPr>
            <w:r>
              <w:rPr>
                <w:rFonts w:hint="eastAsia"/>
                <w:sz w:val="24"/>
                <w:szCs w:val="24"/>
                <w:lang w:val="en-US" w:eastAsia="zh-CN"/>
              </w:rPr>
              <w:t>2、无重大服务质量投诉。</w:t>
            </w:r>
          </w:p>
          <w:p>
            <w:pPr>
              <w:pStyle w:val="20"/>
              <w:rPr>
                <w:rFonts w:hint="eastAsia"/>
                <w:sz w:val="24"/>
                <w:szCs w:val="24"/>
                <w:lang w:val="en-US" w:eastAsia="zh-CN"/>
              </w:rPr>
            </w:pPr>
            <w:r>
              <w:rPr>
                <w:rFonts w:hint="eastAsia"/>
                <w:sz w:val="24"/>
                <w:szCs w:val="24"/>
                <w:lang w:val="en-US" w:eastAsia="zh-CN"/>
              </w:rPr>
              <w:t>1.3.2 公司职业健康安全/环境管理的战略目标：</w:t>
            </w:r>
          </w:p>
          <w:p>
            <w:pPr>
              <w:pStyle w:val="20"/>
              <w:rPr>
                <w:rFonts w:hint="eastAsia"/>
                <w:sz w:val="24"/>
                <w:szCs w:val="24"/>
                <w:lang w:val="en-US" w:eastAsia="zh-CN"/>
              </w:rPr>
            </w:pPr>
            <w:r>
              <w:rPr>
                <w:rFonts w:hint="eastAsia"/>
                <w:sz w:val="24"/>
                <w:szCs w:val="24"/>
                <w:lang w:val="en-US" w:eastAsia="zh-CN"/>
              </w:rPr>
              <w:t>1、固体废弃物分类处理率100%；</w:t>
            </w:r>
          </w:p>
          <w:p>
            <w:pPr>
              <w:pStyle w:val="20"/>
              <w:rPr>
                <w:rFonts w:hint="eastAsia"/>
                <w:sz w:val="24"/>
                <w:szCs w:val="24"/>
                <w:lang w:val="en-US" w:eastAsia="zh-CN"/>
              </w:rPr>
            </w:pPr>
            <w:r>
              <w:rPr>
                <w:rFonts w:hint="eastAsia"/>
                <w:sz w:val="24"/>
                <w:szCs w:val="24"/>
                <w:lang w:val="en-US" w:eastAsia="zh-CN"/>
              </w:rPr>
              <w:t>2、火灾事故为0；</w:t>
            </w:r>
          </w:p>
          <w:p>
            <w:pPr>
              <w:pStyle w:val="20"/>
              <w:rPr>
                <w:rFonts w:hint="eastAsia"/>
                <w:sz w:val="24"/>
                <w:szCs w:val="24"/>
                <w:lang w:val="en-US" w:eastAsia="zh-CN"/>
              </w:rPr>
            </w:pPr>
            <w:r>
              <w:rPr>
                <w:rFonts w:hint="eastAsia"/>
                <w:sz w:val="24"/>
                <w:szCs w:val="24"/>
                <w:lang w:val="en-US" w:eastAsia="zh-CN"/>
              </w:rPr>
              <w:t>3、触电事故为0。</w:t>
            </w:r>
          </w:p>
          <w:p>
            <w:pPr>
              <w:pStyle w:val="20"/>
              <w:rPr>
                <w:sz w:val="24"/>
                <w:szCs w:val="24"/>
              </w:rPr>
            </w:pPr>
            <w:r>
              <w:rPr>
                <w:rFonts w:hint="eastAsia"/>
                <w:sz w:val="24"/>
                <w:szCs w:val="24"/>
                <w:lang w:val="en-US" w:eastAsia="zh-CN"/>
              </w:rPr>
              <w:t>——</w:t>
            </w:r>
            <w:r>
              <w:rPr>
                <w:rFonts w:hint="eastAsia"/>
                <w:sz w:val="24"/>
                <w:szCs w:val="24"/>
              </w:rPr>
              <w:t>目标可测量。</w:t>
            </w:r>
          </w:p>
          <w:p>
            <w:pPr>
              <w:pStyle w:val="20"/>
              <w:rPr>
                <w:sz w:val="24"/>
                <w:szCs w:val="24"/>
              </w:rPr>
            </w:pPr>
            <w:r>
              <w:rPr>
                <w:rFonts w:hint="eastAsia"/>
                <w:sz w:val="24"/>
                <w:szCs w:val="24"/>
                <w:lang w:val="en-US" w:eastAsia="zh-CN"/>
              </w:rPr>
              <w:t>---</w:t>
            </w:r>
            <w:r>
              <w:rPr>
                <w:rFonts w:hint="eastAsia"/>
                <w:sz w:val="24"/>
                <w:szCs w:val="24"/>
              </w:rPr>
              <w:t>通过发放文件、会议（每周部门会议，每月公司会议）、培训等方式向员工传达，使得员工理解和应用。</w:t>
            </w:r>
          </w:p>
          <w:p>
            <w:pPr>
              <w:pStyle w:val="20"/>
              <w:rPr>
                <w:sz w:val="24"/>
                <w:szCs w:val="24"/>
              </w:rPr>
            </w:pPr>
            <w:r>
              <w:rPr>
                <w:rFonts w:hint="eastAsia"/>
                <w:sz w:val="24"/>
                <w:szCs w:val="24"/>
                <w:lang w:val="en-US" w:eastAsia="zh-CN"/>
              </w:rPr>
              <w:t>---</w:t>
            </w:r>
            <w:r>
              <w:rPr>
                <w:rFonts w:hint="eastAsia"/>
                <w:sz w:val="24"/>
                <w:szCs w:val="24"/>
              </w:rPr>
              <w:t>建立管理体系，以实现公司的目标。</w:t>
            </w:r>
          </w:p>
          <w:p>
            <w:pPr>
              <w:pStyle w:val="20"/>
              <w:rPr>
                <w:sz w:val="24"/>
                <w:szCs w:val="24"/>
              </w:rPr>
            </w:pPr>
            <w:r>
              <w:rPr>
                <w:rFonts w:hint="eastAsia"/>
                <w:sz w:val="24"/>
                <w:szCs w:val="24"/>
                <w:lang w:val="en-US" w:eastAsia="zh-CN"/>
              </w:rPr>
              <w:t>---</w:t>
            </w:r>
            <w:r>
              <w:rPr>
                <w:rFonts w:hint="eastAsia"/>
                <w:sz w:val="24"/>
                <w:szCs w:val="24"/>
              </w:rPr>
              <w:t>管理评审中对适宜性进行评审。</w:t>
            </w:r>
          </w:p>
          <w:p>
            <w:pPr>
              <w:rPr>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控制基本满足要求。</w:t>
            </w:r>
          </w:p>
        </w:tc>
        <w:tc>
          <w:tcPr>
            <w:tcW w:w="1585"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sz w:val="24"/>
                <w:szCs w:val="24"/>
                <w:lang w:val="en-US" w:eastAsia="zh-CN"/>
              </w:rPr>
            </w:pPr>
            <w:r>
              <w:rPr>
                <w:rFonts w:hint="eastAsia"/>
                <w:sz w:val="24"/>
                <w:szCs w:val="24"/>
                <w:lang w:val="en-US" w:eastAsia="zh-CN"/>
              </w:rPr>
              <w:t>资源</w:t>
            </w:r>
          </w:p>
        </w:tc>
        <w:tc>
          <w:tcPr>
            <w:tcW w:w="960" w:type="dxa"/>
          </w:tcPr>
          <w:p>
            <w:pPr>
              <w:rPr>
                <w:rFonts w:hint="default"/>
                <w:sz w:val="24"/>
                <w:szCs w:val="24"/>
                <w:lang w:val="en-US" w:eastAsia="zh-CN"/>
              </w:rPr>
            </w:pPr>
            <w:r>
              <w:rPr>
                <w:rFonts w:hint="eastAsia"/>
                <w:sz w:val="24"/>
                <w:szCs w:val="24"/>
                <w:lang w:val="en-US" w:eastAsia="zh-CN"/>
              </w:rPr>
              <w:t>ES7.1</w:t>
            </w:r>
          </w:p>
        </w:tc>
        <w:tc>
          <w:tcPr>
            <w:tcW w:w="10004" w:type="dxa"/>
          </w:tcPr>
          <w:p>
            <w:pPr>
              <w:pStyle w:val="20"/>
              <w:rPr>
                <w:rFonts w:hint="eastAsia" w:eastAsia="宋体" w:cs="Times New Roman"/>
                <w:sz w:val="24"/>
                <w:szCs w:val="24"/>
              </w:rPr>
            </w:pPr>
            <w:r>
              <w:rPr>
                <w:rFonts w:hint="eastAsia" w:eastAsia="宋体" w:cs="Times New Roman"/>
                <w:sz w:val="24"/>
                <w:szCs w:val="24"/>
              </w:rPr>
              <w:t>公司注册地址在</w:t>
            </w:r>
            <w:bookmarkStart w:id="4" w:name="生产地址"/>
            <w:r>
              <w:rPr>
                <w:rFonts w:hint="eastAsia" w:eastAsia="宋体" w:cs="Times New Roman"/>
                <w:sz w:val="24"/>
                <w:szCs w:val="24"/>
              </w:rPr>
              <w:t>南京市高淳区</w:t>
            </w:r>
            <w:bookmarkEnd w:id="4"/>
            <w:r>
              <w:rPr>
                <w:rFonts w:hint="eastAsia" w:eastAsia="宋体" w:cs="Times New Roman"/>
                <w:sz w:val="24"/>
                <w:szCs w:val="24"/>
                <w:lang w:val="en-US" w:eastAsia="zh-CN"/>
              </w:rPr>
              <w:t>阳江镇高墩村八村208号</w:t>
            </w:r>
            <w:r>
              <w:rPr>
                <w:rFonts w:hint="eastAsia" w:eastAsia="宋体" w:cs="Times New Roman"/>
                <w:sz w:val="24"/>
                <w:szCs w:val="24"/>
              </w:rPr>
              <w:t>，办公区场地位于南京市高淳区淳溪街道淳兴路10-8室，办公区为租赁，面积</w:t>
            </w:r>
            <w:r>
              <w:rPr>
                <w:rFonts w:hint="eastAsia" w:eastAsia="宋体" w:cs="Times New Roman"/>
                <w:sz w:val="24"/>
                <w:szCs w:val="24"/>
                <w:lang w:val="en-US" w:eastAsia="zh-CN"/>
              </w:rPr>
              <w:t>约</w:t>
            </w:r>
            <w:r>
              <w:rPr>
                <w:rFonts w:hint="eastAsia" w:eastAsia="宋体" w:cs="Times New Roman"/>
                <w:sz w:val="24"/>
                <w:szCs w:val="24"/>
              </w:rPr>
              <w:t>1</w:t>
            </w:r>
            <w:r>
              <w:rPr>
                <w:rFonts w:hint="eastAsia" w:eastAsia="宋体" w:cs="Times New Roman"/>
                <w:sz w:val="24"/>
                <w:szCs w:val="24"/>
                <w:lang w:val="en-US" w:eastAsia="zh-CN"/>
              </w:rPr>
              <w:t>0</w:t>
            </w:r>
            <w:r>
              <w:rPr>
                <w:rFonts w:hint="eastAsia" w:eastAsia="宋体" w:cs="Times New Roman"/>
                <w:sz w:val="24"/>
                <w:szCs w:val="24"/>
              </w:rPr>
              <w:t>0平方米，配置了台式电脑 、打印机、复印件、办公桌椅等办公设备，配置了洗地机、高压水枪、单刷机、吸水机、吸尘器、垃圾车等保洁设备设施。</w:t>
            </w:r>
          </w:p>
          <w:p>
            <w:pPr>
              <w:pStyle w:val="20"/>
              <w:rPr>
                <w:rFonts w:hint="default" w:eastAsia="宋体" w:cs="Times New Roman"/>
                <w:sz w:val="24"/>
                <w:szCs w:val="24"/>
                <w:lang w:val="en-US" w:eastAsia="zh-CN"/>
              </w:rPr>
            </w:pPr>
            <w:r>
              <w:rPr>
                <w:rFonts w:hint="eastAsia" w:eastAsia="宋体" w:cs="Times New Roman"/>
                <w:sz w:val="24"/>
                <w:szCs w:val="24"/>
                <w:lang w:eastAsia="zh-CN"/>
              </w:rPr>
              <w:t>——</w:t>
            </w:r>
            <w:r>
              <w:rPr>
                <w:rFonts w:hint="eastAsia" w:eastAsia="宋体" w:cs="Times New Roman"/>
                <w:sz w:val="24"/>
                <w:szCs w:val="24"/>
              </w:rPr>
              <w:t>现有资源满足当前公司生产经营活动的需求。</w:t>
            </w:r>
          </w:p>
        </w:tc>
        <w:tc>
          <w:tcPr>
            <w:tcW w:w="1585"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sz w:val="24"/>
                <w:szCs w:val="24"/>
                <w:lang w:val="en-US" w:eastAsia="zh-CN"/>
              </w:rPr>
            </w:pPr>
            <w:r>
              <w:rPr>
                <w:rFonts w:hint="eastAsia"/>
                <w:sz w:val="24"/>
                <w:szCs w:val="24"/>
                <w:lang w:val="en-US" w:eastAsia="zh-CN"/>
              </w:rPr>
              <w:t>管理评审</w:t>
            </w:r>
          </w:p>
        </w:tc>
        <w:tc>
          <w:tcPr>
            <w:tcW w:w="960" w:type="dxa"/>
          </w:tcPr>
          <w:p>
            <w:pPr>
              <w:rPr>
                <w:rFonts w:hint="default"/>
                <w:sz w:val="24"/>
                <w:szCs w:val="24"/>
                <w:lang w:val="en-US" w:eastAsia="zh-CN"/>
              </w:rPr>
            </w:pPr>
            <w:r>
              <w:rPr>
                <w:rFonts w:hint="eastAsia"/>
                <w:sz w:val="24"/>
                <w:szCs w:val="24"/>
                <w:lang w:val="en-US" w:eastAsia="zh-CN"/>
              </w:rPr>
              <w:t>QES9.3</w:t>
            </w:r>
          </w:p>
        </w:tc>
        <w:tc>
          <w:tcPr>
            <w:tcW w:w="10004" w:type="dxa"/>
          </w:tcPr>
          <w:p>
            <w:pPr>
              <w:pStyle w:val="20"/>
              <w:rPr>
                <w:rFonts w:hint="eastAsia" w:eastAsia="宋体" w:cs="Times New Roman"/>
                <w:sz w:val="24"/>
                <w:szCs w:val="24"/>
                <w:lang w:val="zh-CN"/>
              </w:rPr>
            </w:pPr>
            <w:r>
              <w:rPr>
                <w:rFonts w:hint="eastAsia" w:eastAsia="宋体" w:cs="Times New Roman"/>
                <w:sz w:val="24"/>
                <w:szCs w:val="24"/>
                <w:lang w:val="en-US" w:eastAsia="zh-CN"/>
              </w:rPr>
              <w:t>---</w:t>
            </w:r>
            <w:r>
              <w:rPr>
                <w:rFonts w:hint="eastAsia" w:eastAsia="宋体" w:cs="Times New Roman"/>
                <w:sz w:val="24"/>
                <w:szCs w:val="24"/>
                <w:lang w:val="zh-CN"/>
              </w:rPr>
              <w:t>编制了《管理评审控制程序》。对评审的频次和评审整改做出了具体规定，每年不少于一次，（时间间隔不超过12个月）。</w:t>
            </w:r>
          </w:p>
          <w:p>
            <w:pPr>
              <w:pStyle w:val="20"/>
              <w:rPr>
                <w:rFonts w:hint="eastAsia" w:eastAsia="宋体" w:cs="Times New Roman"/>
                <w:sz w:val="24"/>
                <w:szCs w:val="24"/>
                <w:lang w:val="zh-CN"/>
              </w:rPr>
            </w:pPr>
            <w:r>
              <w:rPr>
                <w:rFonts w:hint="eastAsia" w:eastAsia="宋体" w:cs="Times New Roman"/>
                <w:sz w:val="24"/>
                <w:szCs w:val="24"/>
                <w:lang w:val="en-US" w:eastAsia="zh-CN"/>
              </w:rPr>
              <w:t>---</w:t>
            </w:r>
            <w:r>
              <w:rPr>
                <w:rFonts w:hint="eastAsia" w:eastAsia="宋体" w:cs="Times New Roman"/>
                <w:sz w:val="24"/>
                <w:szCs w:val="24"/>
                <w:lang w:val="zh-CN"/>
              </w:rPr>
              <w:t>提供《管理评审计划》，对评审目的、评审参加部门人员、评审内容、各部门准备要求等进行了规定；管理评审主持人：孙传鸿</w:t>
            </w:r>
          </w:p>
          <w:p>
            <w:pPr>
              <w:pStyle w:val="20"/>
              <w:rPr>
                <w:rFonts w:hint="eastAsia" w:eastAsia="宋体" w:cs="Times New Roman"/>
                <w:sz w:val="24"/>
                <w:szCs w:val="24"/>
                <w:lang w:val="zh-CN"/>
              </w:rPr>
            </w:pPr>
            <w:r>
              <w:rPr>
                <w:rFonts w:hint="eastAsia" w:eastAsia="宋体" w:cs="Times New Roman"/>
                <w:sz w:val="24"/>
                <w:szCs w:val="24"/>
                <w:lang w:val="zh-CN"/>
              </w:rPr>
              <w:t>评审时间：202</w:t>
            </w:r>
            <w:r>
              <w:rPr>
                <w:rFonts w:hint="eastAsia" w:eastAsia="宋体" w:cs="Times New Roman"/>
                <w:sz w:val="24"/>
                <w:szCs w:val="24"/>
                <w:lang w:val="en-US" w:eastAsia="zh-CN"/>
              </w:rPr>
              <w:t>2</w:t>
            </w:r>
            <w:r>
              <w:rPr>
                <w:rFonts w:hint="eastAsia" w:eastAsia="宋体" w:cs="Times New Roman"/>
                <w:sz w:val="24"/>
                <w:szCs w:val="24"/>
                <w:lang w:val="zh-CN"/>
              </w:rPr>
              <w:t>年</w:t>
            </w:r>
            <w:r>
              <w:rPr>
                <w:rFonts w:hint="eastAsia" w:eastAsia="宋体" w:cs="Times New Roman"/>
                <w:sz w:val="24"/>
                <w:szCs w:val="24"/>
                <w:lang w:val="en-US" w:eastAsia="zh-CN"/>
              </w:rPr>
              <w:t>6</w:t>
            </w:r>
            <w:r>
              <w:rPr>
                <w:rFonts w:hint="eastAsia" w:eastAsia="宋体" w:cs="Times New Roman"/>
                <w:sz w:val="24"/>
                <w:szCs w:val="24"/>
                <w:lang w:val="zh-CN"/>
              </w:rPr>
              <w:t>月</w:t>
            </w:r>
            <w:r>
              <w:rPr>
                <w:rFonts w:hint="eastAsia" w:eastAsia="宋体" w:cs="Times New Roman"/>
                <w:sz w:val="24"/>
                <w:szCs w:val="24"/>
                <w:lang w:val="en-US" w:eastAsia="zh-CN"/>
              </w:rPr>
              <w:t>27</w:t>
            </w:r>
            <w:r>
              <w:rPr>
                <w:rFonts w:hint="eastAsia" w:eastAsia="宋体" w:cs="Times New Roman"/>
                <w:sz w:val="24"/>
                <w:szCs w:val="24"/>
                <w:lang w:val="zh-CN"/>
              </w:rPr>
              <w:t>日</w:t>
            </w:r>
          </w:p>
          <w:p>
            <w:pPr>
              <w:pStyle w:val="20"/>
              <w:rPr>
                <w:rFonts w:hint="eastAsia" w:eastAsia="宋体" w:cs="Times New Roman"/>
                <w:sz w:val="24"/>
                <w:szCs w:val="24"/>
                <w:lang w:val="zh-CN"/>
              </w:rPr>
            </w:pPr>
            <w:r>
              <w:rPr>
                <w:rFonts w:hint="eastAsia" w:eastAsia="宋体" w:cs="Times New Roman"/>
                <w:sz w:val="24"/>
                <w:szCs w:val="24"/>
                <w:lang w:val="zh-CN"/>
              </w:rPr>
              <w:t>评审内容：</w:t>
            </w:r>
          </w:p>
          <w:p>
            <w:pPr>
              <w:pStyle w:val="20"/>
              <w:rPr>
                <w:rFonts w:hint="eastAsia" w:eastAsia="宋体" w:cs="Times New Roman"/>
                <w:sz w:val="24"/>
                <w:szCs w:val="24"/>
                <w:lang w:val="zh-CN"/>
              </w:rPr>
            </w:pPr>
            <w:r>
              <w:rPr>
                <w:rFonts w:hint="eastAsia" w:eastAsia="宋体" w:cs="Times New Roman"/>
                <w:sz w:val="24"/>
                <w:szCs w:val="24"/>
                <w:lang w:val="zh-CN"/>
              </w:rPr>
              <w:t>1)由管理者代表提出内部审核结果及改善报告，并对审核过程中重大问题进行总结；对纠正与预防措施实施情况进行分析总结；</w:t>
            </w:r>
          </w:p>
          <w:p>
            <w:pPr>
              <w:pStyle w:val="20"/>
              <w:rPr>
                <w:rFonts w:hint="eastAsia" w:eastAsia="宋体" w:cs="Times New Roman"/>
                <w:sz w:val="24"/>
                <w:szCs w:val="24"/>
                <w:lang w:val="zh-CN"/>
              </w:rPr>
            </w:pPr>
            <w:r>
              <w:rPr>
                <w:rFonts w:hint="eastAsia" w:eastAsia="宋体" w:cs="Times New Roman"/>
                <w:sz w:val="24"/>
                <w:szCs w:val="24"/>
                <w:lang w:val="zh-CN"/>
              </w:rPr>
              <w:t>2)由管理者代表对质量、环境和职业健康安全管理目标达成情况及公司管理运作总体状况进行分析总结；</w:t>
            </w:r>
          </w:p>
          <w:p>
            <w:pPr>
              <w:pStyle w:val="20"/>
              <w:rPr>
                <w:rFonts w:hint="eastAsia" w:eastAsia="宋体" w:cs="Times New Roman"/>
                <w:sz w:val="24"/>
                <w:szCs w:val="24"/>
                <w:lang w:val="zh-CN"/>
              </w:rPr>
            </w:pPr>
            <w:r>
              <w:rPr>
                <w:rFonts w:hint="eastAsia" w:eastAsia="宋体" w:cs="Times New Roman"/>
                <w:sz w:val="24"/>
                <w:szCs w:val="24"/>
                <w:lang w:val="zh-CN"/>
              </w:rPr>
              <w:t>3)由项目部提出顾客投诉状况及顾客满意度调查状况并进行总结；</w:t>
            </w:r>
          </w:p>
          <w:p>
            <w:pPr>
              <w:pStyle w:val="20"/>
              <w:rPr>
                <w:rFonts w:hint="eastAsia" w:eastAsia="宋体" w:cs="Times New Roman"/>
                <w:sz w:val="24"/>
                <w:szCs w:val="24"/>
                <w:lang w:val="zh-CN"/>
              </w:rPr>
            </w:pPr>
            <w:r>
              <w:rPr>
                <w:rFonts w:hint="eastAsia" w:eastAsia="宋体" w:cs="Times New Roman"/>
                <w:sz w:val="24"/>
                <w:szCs w:val="24"/>
                <w:lang w:val="zh-CN"/>
              </w:rPr>
              <w:t>4)由销售部组织对供方的业绩进行分析总结，对供应商作出评价目后交公司留档；</w:t>
            </w:r>
          </w:p>
          <w:p>
            <w:pPr>
              <w:pStyle w:val="20"/>
              <w:rPr>
                <w:rFonts w:hint="eastAsia" w:eastAsia="宋体" w:cs="Times New Roman"/>
                <w:sz w:val="24"/>
                <w:szCs w:val="24"/>
                <w:lang w:val="zh-CN"/>
              </w:rPr>
            </w:pPr>
            <w:r>
              <w:rPr>
                <w:rFonts w:hint="eastAsia" w:eastAsia="宋体" w:cs="Times New Roman"/>
                <w:sz w:val="24"/>
                <w:szCs w:val="24"/>
                <w:lang w:val="zh-CN"/>
              </w:rPr>
              <w:t>5)各部门对质量、环境和职业健康安全管理方针的执行情况和适宜性、过程业绩进行分析总结；</w:t>
            </w:r>
          </w:p>
          <w:p>
            <w:pPr>
              <w:pStyle w:val="20"/>
              <w:rPr>
                <w:rFonts w:hint="eastAsia" w:eastAsia="宋体" w:cs="Times New Roman"/>
                <w:sz w:val="24"/>
                <w:szCs w:val="24"/>
                <w:lang w:val="zh-CN"/>
              </w:rPr>
            </w:pPr>
            <w:r>
              <w:rPr>
                <w:rFonts w:hint="eastAsia" w:eastAsia="宋体" w:cs="Times New Roman"/>
                <w:sz w:val="24"/>
                <w:szCs w:val="24"/>
                <w:lang w:val="zh-CN"/>
              </w:rPr>
              <w:t>6)由管理者代表提出质量、环境和职业健康安全体系执行及修正状况检讨并寻求改进的机会；</w:t>
            </w:r>
          </w:p>
          <w:p>
            <w:pPr>
              <w:pStyle w:val="20"/>
              <w:rPr>
                <w:rFonts w:hint="eastAsia" w:eastAsia="宋体" w:cs="Times New Roman"/>
                <w:sz w:val="24"/>
                <w:szCs w:val="24"/>
                <w:lang w:val="zh-CN"/>
              </w:rPr>
            </w:pPr>
            <w:r>
              <w:rPr>
                <w:rFonts w:hint="eastAsia" w:eastAsia="宋体" w:cs="Times New Roman"/>
                <w:sz w:val="24"/>
                <w:szCs w:val="24"/>
                <w:lang w:val="zh-CN"/>
              </w:rPr>
              <w:t>7)各部门对公司资源的配置情况进行评审；</w:t>
            </w:r>
          </w:p>
          <w:p>
            <w:pPr>
              <w:pStyle w:val="20"/>
              <w:rPr>
                <w:rFonts w:hint="eastAsia" w:eastAsia="宋体" w:cs="Times New Roman"/>
                <w:sz w:val="24"/>
                <w:szCs w:val="24"/>
                <w:lang w:val="zh-CN"/>
              </w:rPr>
            </w:pPr>
            <w:r>
              <w:rPr>
                <w:rFonts w:hint="eastAsia" w:eastAsia="宋体" w:cs="Times New Roman"/>
                <w:sz w:val="24"/>
                <w:szCs w:val="24"/>
                <w:lang w:val="zh-CN"/>
              </w:rPr>
              <w:t>8)由综合部对与公司有关活动相关的法律法规和其他要求的合符性，对各部门的履行合规状评价；</w:t>
            </w:r>
          </w:p>
          <w:p>
            <w:pPr>
              <w:pStyle w:val="20"/>
              <w:rPr>
                <w:rFonts w:hint="eastAsia" w:eastAsia="宋体" w:cs="Times New Roman"/>
                <w:sz w:val="24"/>
                <w:szCs w:val="24"/>
                <w:lang w:val="zh-CN"/>
              </w:rPr>
            </w:pPr>
            <w:r>
              <w:rPr>
                <w:rFonts w:hint="eastAsia" w:eastAsia="宋体" w:cs="Times New Roman"/>
                <w:sz w:val="24"/>
                <w:szCs w:val="24"/>
                <w:lang w:val="zh-CN"/>
              </w:rPr>
              <w:t>9)由综合部对与相关方的沟通及应急预案、消防演习情况进行评价；</w:t>
            </w:r>
          </w:p>
          <w:p>
            <w:pPr>
              <w:pStyle w:val="20"/>
              <w:rPr>
                <w:rFonts w:hint="eastAsia" w:eastAsia="宋体" w:cs="Times New Roman"/>
                <w:sz w:val="24"/>
                <w:szCs w:val="24"/>
                <w:lang w:val="zh-CN"/>
              </w:rPr>
            </w:pPr>
            <w:r>
              <w:rPr>
                <w:rFonts w:hint="eastAsia" w:eastAsia="宋体" w:cs="Times New Roman"/>
                <w:sz w:val="24"/>
                <w:szCs w:val="24"/>
                <w:lang w:val="zh-CN"/>
              </w:rPr>
              <w:t>10)由综合部对公司各部门环境因素识别、评价及方案的执行情况进行评价；</w:t>
            </w:r>
          </w:p>
          <w:p>
            <w:pPr>
              <w:pStyle w:val="20"/>
              <w:rPr>
                <w:rFonts w:hint="eastAsia" w:eastAsia="宋体" w:cs="Times New Roman"/>
                <w:sz w:val="24"/>
                <w:szCs w:val="24"/>
                <w:lang w:val="zh-CN"/>
              </w:rPr>
            </w:pPr>
            <w:r>
              <w:rPr>
                <w:rFonts w:hint="eastAsia" w:eastAsia="宋体" w:cs="Times New Roman"/>
                <w:sz w:val="24"/>
                <w:szCs w:val="24"/>
                <w:lang w:val="zh-CN"/>
              </w:rPr>
              <w:t>11)各部门对质量、环境和职业健康安全体系改进提出建议。</w:t>
            </w:r>
          </w:p>
          <w:p>
            <w:pPr>
              <w:pStyle w:val="20"/>
              <w:rPr>
                <w:rFonts w:hint="eastAsia" w:eastAsia="宋体" w:cs="Times New Roman"/>
                <w:sz w:val="24"/>
                <w:szCs w:val="24"/>
              </w:rPr>
            </w:pPr>
            <w:r>
              <w:rPr>
                <w:rFonts w:hint="eastAsia" w:eastAsia="宋体" w:cs="Times New Roman"/>
                <w:sz w:val="24"/>
                <w:szCs w:val="24"/>
                <w:lang w:val="zh-CN"/>
              </w:rPr>
              <w:t>评审结论：公司的各管理过程符合所策划的结果，质量、环境和职业健康安全的绩效能够满足要求。</w:t>
            </w:r>
          </w:p>
          <w:p>
            <w:pPr>
              <w:pStyle w:val="20"/>
              <w:rPr>
                <w:rFonts w:hint="eastAsia" w:eastAsia="宋体" w:cs="Times New Roman"/>
                <w:sz w:val="24"/>
                <w:szCs w:val="24"/>
                <w:lang w:val="zh-CN"/>
              </w:rPr>
            </w:pPr>
            <w:r>
              <w:rPr>
                <w:rFonts w:hint="eastAsia" w:eastAsia="宋体" w:cs="Times New Roman"/>
                <w:sz w:val="24"/>
                <w:szCs w:val="24"/>
                <w:lang w:val="zh-CN"/>
              </w:rPr>
              <w:t xml:space="preserve">改进需求： </w:t>
            </w:r>
          </w:p>
          <w:p>
            <w:pPr>
              <w:pStyle w:val="20"/>
              <w:rPr>
                <w:rFonts w:hint="eastAsia" w:eastAsia="宋体" w:cs="Times New Roman"/>
                <w:sz w:val="24"/>
                <w:szCs w:val="24"/>
                <w:lang w:val="zh-CN"/>
              </w:rPr>
            </w:pPr>
            <w:r>
              <w:rPr>
                <w:rFonts w:hint="eastAsia" w:eastAsia="宋体" w:cs="Times New Roman"/>
                <w:sz w:val="24"/>
                <w:szCs w:val="24"/>
                <w:lang w:val="zh-CN"/>
              </w:rPr>
              <w:t>要进一步强化质量、环保、职业健康安全管理体系标准的培训</w:t>
            </w:r>
            <w:r>
              <w:rPr>
                <w:rFonts w:hint="eastAsia" w:eastAsia="宋体" w:cs="Times New Roman"/>
                <w:sz w:val="24"/>
                <w:szCs w:val="24"/>
                <w:lang w:val="zh-CN" w:eastAsia="zh-CN"/>
              </w:rPr>
              <w:t>，</w:t>
            </w:r>
            <w:r>
              <w:rPr>
                <w:rFonts w:hint="eastAsia" w:eastAsia="宋体" w:cs="Times New Roman"/>
                <w:sz w:val="24"/>
                <w:szCs w:val="24"/>
                <w:lang w:val="zh-CN"/>
              </w:rPr>
              <w:t>全员参与提高企业的管理水平。</w:t>
            </w:r>
          </w:p>
          <w:p>
            <w:pPr>
              <w:pStyle w:val="20"/>
              <w:rPr>
                <w:rFonts w:hint="eastAsia" w:eastAsia="宋体" w:cs="Times New Roman"/>
                <w:sz w:val="24"/>
                <w:szCs w:val="24"/>
                <w:lang w:val="zh-CN"/>
              </w:rPr>
            </w:pPr>
            <w:r>
              <w:rPr>
                <w:rFonts w:hint="eastAsia" w:eastAsia="宋体" w:cs="Times New Roman"/>
                <w:sz w:val="24"/>
                <w:szCs w:val="24"/>
                <w:lang w:val="en-US" w:eastAsia="zh-CN"/>
              </w:rPr>
              <w:t>---</w:t>
            </w:r>
            <w:r>
              <w:rPr>
                <w:rFonts w:hint="eastAsia" w:eastAsia="宋体" w:cs="Times New Roman"/>
                <w:sz w:val="24"/>
                <w:szCs w:val="24"/>
                <w:lang w:val="zh-CN"/>
              </w:rPr>
              <w:t>管理评审报告经批准并按文件控制要求传递到有关部门。</w:t>
            </w:r>
          </w:p>
          <w:p>
            <w:pPr>
              <w:pStyle w:val="20"/>
              <w:rPr>
                <w:rFonts w:hint="eastAsia" w:eastAsia="宋体" w:cs="Times New Roman"/>
                <w:sz w:val="24"/>
                <w:szCs w:val="24"/>
                <w:lang w:val="en-US" w:eastAsia="zh-CN"/>
              </w:rPr>
            </w:pPr>
            <w:r>
              <w:rPr>
                <w:rFonts w:hint="eastAsia" w:eastAsia="宋体" w:cs="Times New Roman"/>
                <w:sz w:val="24"/>
                <w:szCs w:val="24"/>
                <w:lang w:val="zh-CN"/>
              </w:rPr>
              <w:t>——</w:t>
            </w:r>
            <w:r>
              <w:rPr>
                <w:rFonts w:hint="eastAsia" w:eastAsia="宋体" w:cs="Times New Roman"/>
                <w:sz w:val="24"/>
                <w:szCs w:val="24"/>
                <w:lang w:val="en-US" w:eastAsia="zh-CN"/>
              </w:rPr>
              <w:t>基本符合</w:t>
            </w:r>
          </w:p>
        </w:tc>
        <w:tc>
          <w:tcPr>
            <w:tcW w:w="1585"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4"/>
                <w:szCs w:val="24"/>
                <w:lang w:val="en-US" w:eastAsia="zh-CN"/>
              </w:rPr>
            </w:pPr>
            <w:r>
              <w:rPr>
                <w:rFonts w:hint="eastAsia" w:ascii="宋体" w:hAnsi="宋体" w:eastAsia="宋体" w:cs="宋体"/>
                <w:sz w:val="24"/>
                <w:szCs w:val="24"/>
                <w:lang w:val="en-US" w:eastAsia="zh-CN"/>
              </w:rPr>
              <w:t>对初审不符合问题整改情况的确认；事故事件及起处理情况，质量、环境安全监测情况、使用情况等；</w:t>
            </w:r>
          </w:p>
        </w:tc>
        <w:tc>
          <w:tcPr>
            <w:tcW w:w="960" w:type="dxa"/>
          </w:tcPr>
          <w:p>
            <w:pPr>
              <w:rPr>
                <w:rFonts w:hint="eastAsia"/>
                <w:sz w:val="24"/>
                <w:szCs w:val="24"/>
                <w:lang w:val="en-US" w:eastAsia="zh-CN"/>
              </w:rPr>
            </w:pPr>
          </w:p>
        </w:tc>
        <w:tc>
          <w:tcPr>
            <w:tcW w:w="10004" w:type="dxa"/>
          </w:tcPr>
          <w:p>
            <w:pPr>
              <w:pStyle w:val="20"/>
              <w:rPr>
                <w:rFonts w:hint="eastAsia" w:cs="Times New Roman"/>
                <w:sz w:val="24"/>
                <w:szCs w:val="24"/>
                <w:lang w:val="en-US" w:eastAsia="zh-CN"/>
              </w:rPr>
            </w:pPr>
            <w:r>
              <w:rPr>
                <w:rFonts w:hint="eastAsia" w:cs="Times New Roman"/>
                <w:sz w:val="24"/>
                <w:szCs w:val="24"/>
                <w:lang w:val="en-US" w:eastAsia="zh-CN"/>
              </w:rPr>
              <w:t>经核实，初审不符合发生在ES6.1.3条款，本次审核未发现重复发生。</w:t>
            </w:r>
          </w:p>
          <w:p>
            <w:pPr>
              <w:pStyle w:val="20"/>
              <w:rPr>
                <w:rFonts w:hint="default" w:cs="Times New Roman"/>
                <w:sz w:val="24"/>
                <w:szCs w:val="24"/>
                <w:lang w:val="en-US" w:eastAsia="zh-CN"/>
              </w:rPr>
            </w:pPr>
            <w:r>
              <w:rPr>
                <w:rFonts w:hint="eastAsia" w:cs="Times New Roman"/>
                <w:sz w:val="24"/>
                <w:szCs w:val="24"/>
                <w:lang w:val="en-US" w:eastAsia="zh-CN"/>
              </w:rPr>
              <w:t>负责人说明，本次监督期内未发生质量、环境、安全事件，未发生重大媒体曝光，监管机构处罚。</w:t>
            </w:r>
            <w:bookmarkStart w:id="5" w:name="_GoBack"/>
            <w:bookmarkEnd w:id="5"/>
          </w:p>
        </w:tc>
        <w:tc>
          <w:tcPr>
            <w:tcW w:w="1585" w:type="dxa"/>
          </w:tcPr>
          <w:p>
            <w:pPr>
              <w:rPr>
                <w:rFonts w:hint="eastAsia"/>
                <w:sz w:val="24"/>
                <w:szCs w:val="24"/>
                <w:lang w:val="en-US" w:eastAsia="zh-CN"/>
              </w:rPr>
            </w:pP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3NDJhNGRkNmZiZjA2OTg3ZjZiMDhkODZkNmNlMjcifQ=="/>
  </w:docVars>
  <w:rsids>
    <w:rsidRoot w:val="00000000"/>
    <w:rsid w:val="00C1642E"/>
    <w:rsid w:val="01CF1530"/>
    <w:rsid w:val="01F43178"/>
    <w:rsid w:val="023F1024"/>
    <w:rsid w:val="036256DF"/>
    <w:rsid w:val="070036FD"/>
    <w:rsid w:val="0AA74DF8"/>
    <w:rsid w:val="0AB30ABE"/>
    <w:rsid w:val="0B7078E0"/>
    <w:rsid w:val="0B8709D7"/>
    <w:rsid w:val="0B9E269F"/>
    <w:rsid w:val="0CB14942"/>
    <w:rsid w:val="0D0C551D"/>
    <w:rsid w:val="0F577D49"/>
    <w:rsid w:val="10724E73"/>
    <w:rsid w:val="107A6B0B"/>
    <w:rsid w:val="122B3CDC"/>
    <w:rsid w:val="130D010A"/>
    <w:rsid w:val="173742A4"/>
    <w:rsid w:val="173B6FF4"/>
    <w:rsid w:val="180A2E6A"/>
    <w:rsid w:val="1916151B"/>
    <w:rsid w:val="19787780"/>
    <w:rsid w:val="19E5534B"/>
    <w:rsid w:val="1C8256C5"/>
    <w:rsid w:val="1D080227"/>
    <w:rsid w:val="1F443106"/>
    <w:rsid w:val="1F5E5F75"/>
    <w:rsid w:val="21C67DF7"/>
    <w:rsid w:val="21EA7F94"/>
    <w:rsid w:val="22464CAD"/>
    <w:rsid w:val="22CD001C"/>
    <w:rsid w:val="23A83C63"/>
    <w:rsid w:val="249C4E4A"/>
    <w:rsid w:val="24CD76F9"/>
    <w:rsid w:val="257E07A2"/>
    <w:rsid w:val="281F1A0B"/>
    <w:rsid w:val="28CC4B91"/>
    <w:rsid w:val="28EB0DDF"/>
    <w:rsid w:val="29760E46"/>
    <w:rsid w:val="2C6866E1"/>
    <w:rsid w:val="2CEF2903"/>
    <w:rsid w:val="2E2E1209"/>
    <w:rsid w:val="2E7242E7"/>
    <w:rsid w:val="2F5164C7"/>
    <w:rsid w:val="2F68699C"/>
    <w:rsid w:val="2F995632"/>
    <w:rsid w:val="300602A4"/>
    <w:rsid w:val="30110DE2"/>
    <w:rsid w:val="302E66E2"/>
    <w:rsid w:val="31EA6BBB"/>
    <w:rsid w:val="321150C9"/>
    <w:rsid w:val="32E2366C"/>
    <w:rsid w:val="32F318E1"/>
    <w:rsid w:val="34074D73"/>
    <w:rsid w:val="34831B82"/>
    <w:rsid w:val="38675A43"/>
    <w:rsid w:val="39194863"/>
    <w:rsid w:val="3953139E"/>
    <w:rsid w:val="3A60593B"/>
    <w:rsid w:val="3B6705CE"/>
    <w:rsid w:val="3CB06ECF"/>
    <w:rsid w:val="3E363CE7"/>
    <w:rsid w:val="3F467ABC"/>
    <w:rsid w:val="40BC4452"/>
    <w:rsid w:val="40DA490E"/>
    <w:rsid w:val="41994793"/>
    <w:rsid w:val="42934031"/>
    <w:rsid w:val="429513FF"/>
    <w:rsid w:val="43E17E1E"/>
    <w:rsid w:val="4539603D"/>
    <w:rsid w:val="46DF0E9A"/>
    <w:rsid w:val="49185C54"/>
    <w:rsid w:val="4BF453E8"/>
    <w:rsid w:val="4C0849EF"/>
    <w:rsid w:val="4C112287"/>
    <w:rsid w:val="4C9B3AB5"/>
    <w:rsid w:val="4D08518C"/>
    <w:rsid w:val="4D6B4B4B"/>
    <w:rsid w:val="4E2D698F"/>
    <w:rsid w:val="4E31738E"/>
    <w:rsid w:val="52DB7723"/>
    <w:rsid w:val="540A54E0"/>
    <w:rsid w:val="552D1C3E"/>
    <w:rsid w:val="57337CDC"/>
    <w:rsid w:val="57630EF4"/>
    <w:rsid w:val="582F4063"/>
    <w:rsid w:val="5B8E28B1"/>
    <w:rsid w:val="5BC76675"/>
    <w:rsid w:val="5C0F149F"/>
    <w:rsid w:val="5D762854"/>
    <w:rsid w:val="5E174F66"/>
    <w:rsid w:val="5EBA2717"/>
    <w:rsid w:val="5F3153D5"/>
    <w:rsid w:val="60200102"/>
    <w:rsid w:val="60F150AF"/>
    <w:rsid w:val="610852F2"/>
    <w:rsid w:val="61291238"/>
    <w:rsid w:val="62AA0157"/>
    <w:rsid w:val="633302F4"/>
    <w:rsid w:val="637C3549"/>
    <w:rsid w:val="65440112"/>
    <w:rsid w:val="67A37BB7"/>
    <w:rsid w:val="67C5088E"/>
    <w:rsid w:val="6D172C48"/>
    <w:rsid w:val="74BA5761"/>
    <w:rsid w:val="74FF44D3"/>
    <w:rsid w:val="7502530A"/>
    <w:rsid w:val="75425328"/>
    <w:rsid w:val="782D11B6"/>
    <w:rsid w:val="79F93A46"/>
    <w:rsid w:val="7B160627"/>
    <w:rsid w:val="7B4F5D44"/>
    <w:rsid w:val="7B6B0973"/>
    <w:rsid w:val="7D876B5F"/>
    <w:rsid w:val="7FB328E9"/>
    <w:rsid w:val="7FE32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widowControl w:val="0"/>
      <w:spacing w:before="340" w:after="330" w:line="578" w:lineRule="auto"/>
      <w:jc w:val="both"/>
      <w:outlineLvl w:val="0"/>
    </w:pPr>
    <w:rPr>
      <w:rFonts w:ascii="Calibri" w:hAnsi="Calibri" w:cs="Arial"/>
      <w:b/>
      <w:bCs/>
      <w:kern w:val="44"/>
      <w:sz w:val="32"/>
      <w:szCs w:val="4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5">
    <w:name w:val="table of authorities"/>
    <w:basedOn w:val="1"/>
    <w:next w:val="1"/>
    <w:unhideWhenUsed/>
    <w:qFormat/>
    <w:uiPriority w:val="99"/>
    <w:pPr>
      <w:ind w:left="420" w:leftChars="200"/>
    </w:pPr>
  </w:style>
  <w:style w:type="paragraph" w:styleId="6">
    <w:name w:val="Body Text Indent"/>
    <w:basedOn w:val="1"/>
    <w:qFormat/>
    <w:uiPriority w:val="0"/>
    <w:pPr>
      <w:adjustRightInd w:val="0"/>
      <w:spacing w:line="360" w:lineRule="atLeast"/>
      <w:ind w:left="1077"/>
      <w:textAlignment w:val="baseline"/>
    </w:pPr>
    <w:rPr>
      <w:b/>
      <w:kern w:val="0"/>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qFormat/>
    <w:uiPriority w:val="0"/>
    <w:pPr>
      <w:ind w:firstLine="420" w:firstLineChars="200"/>
    </w:p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 w:type="paragraph" w:customStyle="1" w:styleId="18">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styleId="2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2491</Words>
  <Characters>2831</Characters>
  <Lines>1</Lines>
  <Paragraphs>1</Paragraphs>
  <TotalTime>3</TotalTime>
  <ScaleCrop>false</ScaleCrop>
  <LinksUpToDate>false</LinksUpToDate>
  <CharactersWithSpaces>2873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2022-08-01T04:17:29Z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