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bookmarkStart w:id="3" w:name="_GoBack"/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项目部(含服务现场）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bookmarkStart w:id="0" w:name="管理者代表"/>
            <w:r>
              <w:rPr>
                <w:rFonts w:hint="eastAsia"/>
                <w:sz w:val="24"/>
                <w:szCs w:val="24"/>
              </w:rPr>
              <w:t>孙海兵</w:t>
            </w:r>
            <w:bookmarkEnd w:id="0"/>
            <w:r>
              <w:rPr>
                <w:rFonts w:hint="eastAsia"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沈顺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bookmarkStart w:id="1" w:name="审核组成员不含组长"/>
            <w:bookmarkEnd w:id="1"/>
            <w:r>
              <w:rPr>
                <w:rFonts w:hint="eastAsia"/>
                <w:sz w:val="24"/>
                <w:szCs w:val="24"/>
                <w:lang w:val="en-US" w:eastAsia="zh-CN"/>
              </w:rPr>
              <w:t>周文/远程，电话、微信；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bookmarkStart w:id="2" w:name="审核日期"/>
            <w:r>
              <w:rPr>
                <w:sz w:val="24"/>
                <w:szCs w:val="24"/>
              </w:rPr>
              <w:t xml:space="preserve">2022年07月12日 </w:t>
            </w:r>
            <w:bookmarkEnd w:id="2"/>
          </w:p>
        </w:tc>
        <w:tc>
          <w:tcPr>
            <w:tcW w:w="1585" w:type="dxa"/>
            <w:vMerge w:val="continue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</w:p>
          <w:p>
            <w:pPr>
              <w:tabs>
                <w:tab w:val="left" w:pos="709"/>
              </w:tabs>
              <w:ind w:right="57"/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QMS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:5.3/6.2/8.1/8.2/8.5/8.6/8.7</w:t>
            </w:r>
          </w:p>
          <w:p>
            <w:pPr>
              <w:tabs>
                <w:tab w:val="left" w:pos="709"/>
              </w:tabs>
              <w:ind w:right="57"/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EMS: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5.3/6.1.2/6.2/8.1/8.2</w:t>
            </w:r>
          </w:p>
          <w:p>
            <w:pPr>
              <w:pStyle w:val="3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OHS: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5.3/6.1.2/6.2/8.1/8.2</w:t>
            </w:r>
          </w:p>
          <w:p>
            <w:pPr>
              <w:pStyle w:val="3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组织的岗位、职责和权限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环境因素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\危险源，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目标及其实施的策划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QES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运行策划和控制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应急准备和响应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,产品和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服务的要求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产品和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服务提供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过程，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服务的放行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不合格输出的控制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</w:p>
        </w:tc>
        <w:tc>
          <w:tcPr>
            <w:tcW w:w="1585" w:type="dxa"/>
            <w:vMerge w:val="continue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ascii="宋体" w:hAnsi="宋体" w:cs="Arial"/>
                <w:sz w:val="24"/>
                <w:szCs w:val="24"/>
              </w:rPr>
              <w:t>组织的岗位、职责和权限、</w:t>
            </w:r>
          </w:p>
        </w:tc>
        <w:tc>
          <w:tcPr>
            <w:tcW w:w="96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ascii="宋体" w:hAnsi="宋体" w:cs="Arial"/>
                <w:sz w:val="24"/>
                <w:szCs w:val="24"/>
              </w:rPr>
              <w:t>Q</w:t>
            </w: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t>EO</w:t>
            </w:r>
            <w:r>
              <w:rPr>
                <w:rFonts w:ascii="宋体" w:hAnsi="宋体" w:cs="Arial"/>
                <w:sz w:val="24"/>
                <w:szCs w:val="24"/>
              </w:rPr>
              <w:t>:5.3</w:t>
            </w:r>
          </w:p>
        </w:tc>
        <w:tc>
          <w:tcPr>
            <w:tcW w:w="10004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360" w:lineRule="auto"/>
              <w:textAlignment w:val="auto"/>
              <w:outlineLvl w:val="1"/>
              <w:rPr>
                <w:rFonts w:hint="eastAsia" w:ascii="宋体" w:hAnsi="宋体" w:eastAsia="宋体" w:cs="宋体"/>
                <w:b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查手册5.3条款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  <w:highlight w:val="none"/>
              </w:rPr>
              <w:t>、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  <w:highlight w:val="none"/>
                <w:lang w:eastAsia="zh-CN"/>
              </w:rPr>
              <w:t>项目部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  <w:highlight w:val="none"/>
              </w:rPr>
              <w:t>职责和权限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  <w:highlight w:val="none"/>
                <w:lang w:val="en-US" w:eastAsia="zh-CN"/>
              </w:rPr>
              <w:t>;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firstLine="567" w:firstLineChars="0"/>
              <w:textAlignment w:val="auto"/>
              <w:outlineLvl w:val="9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负责已达成各项目服务的具体实施；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firstLine="567" w:firstLineChars="0"/>
              <w:textAlignment w:val="auto"/>
              <w:outlineLvl w:val="9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制定科学、实用的管理制度、项目评估办法和标准，处理规定权限内的各项目事宜和审核、审批；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firstLine="567" w:firstLineChars="0"/>
              <w:textAlignment w:val="auto"/>
              <w:outlineLvl w:val="9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组织协调项目的设计、服务等事项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firstLine="567" w:firstLineChars="0"/>
              <w:textAlignment w:val="auto"/>
              <w:outlineLvl w:val="9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对在指定工期内能够完成项目所需要的资源配置做出保证，与服务相对方保持协商、协助的服务关系；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firstLine="567" w:firstLineChars="0"/>
              <w:textAlignment w:val="auto"/>
              <w:outlineLvl w:val="9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组织实施项目的巡检，协助公司做好项目的检查、鉴定工作；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firstLine="567" w:firstLineChars="0"/>
              <w:textAlignment w:val="auto"/>
              <w:outlineLvl w:val="9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color w:val="auto"/>
                <w:sz w:val="24"/>
                <w:szCs w:val="24"/>
                <w:lang w:val="en-US" w:eastAsia="zh-CN"/>
              </w:rPr>
              <w:t>统筹安排基层员工工作内容、合理配置工种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tabs>
                <w:tab w:val="left" w:pos="9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firstLine="567" w:firstLineChars="0"/>
              <w:textAlignment w:val="auto"/>
              <w:outlineLvl w:val="9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负责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协调处理项目部的内部和外部事项。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询问项目部负责人，其回答与文件规定基本一致。</w:t>
            </w: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——符合</w:t>
            </w:r>
          </w:p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t>管理</w:t>
            </w:r>
            <w:r>
              <w:rPr>
                <w:rFonts w:hint="eastAsia" w:ascii="宋体" w:hAnsi="宋体" w:cs="Arial"/>
                <w:sz w:val="24"/>
                <w:szCs w:val="24"/>
              </w:rPr>
              <w:t>目标</w:t>
            </w:r>
          </w:p>
        </w:tc>
        <w:tc>
          <w:tcPr>
            <w:tcW w:w="96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ascii="宋体" w:hAnsi="宋体" w:cs="Arial"/>
                <w:sz w:val="24"/>
                <w:szCs w:val="24"/>
              </w:rPr>
              <w:t>Q</w:t>
            </w: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t>EO</w:t>
            </w:r>
            <w:r>
              <w:rPr>
                <w:rFonts w:ascii="宋体" w:hAnsi="宋体" w:cs="Arial"/>
                <w:sz w:val="24"/>
                <w:szCs w:val="24"/>
              </w:rPr>
              <w:t>:6.2</w:t>
            </w:r>
          </w:p>
        </w:tc>
        <w:tc>
          <w:tcPr>
            <w:tcW w:w="10004" w:type="dxa"/>
          </w:tcPr>
          <w:p>
            <w:pPr>
              <w:pStyle w:val="15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公司目标：</w:t>
            </w:r>
          </w:p>
          <w:p>
            <w:pPr>
              <w:pStyle w:val="15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1、顾客满意率≥90%；               </w:t>
            </w:r>
            <w:r>
              <w:rPr>
                <w:rFonts w:hint="eastAsia"/>
                <w:sz w:val="24"/>
                <w:szCs w:val="24"/>
                <w:lang w:eastAsia="zh-CN"/>
              </w:rPr>
              <w:t>满意顾客</w:t>
            </w:r>
            <w:r>
              <w:rPr>
                <w:rFonts w:hint="eastAsia"/>
                <w:sz w:val="24"/>
                <w:szCs w:val="24"/>
              </w:rPr>
              <w:t>数量/</w:t>
            </w:r>
            <w:r>
              <w:rPr>
                <w:rFonts w:hint="eastAsia"/>
                <w:sz w:val="24"/>
                <w:szCs w:val="24"/>
                <w:lang w:eastAsia="zh-CN"/>
              </w:rPr>
              <w:t>顾客</w:t>
            </w:r>
            <w:r>
              <w:rPr>
                <w:rFonts w:hint="eastAsia"/>
                <w:sz w:val="24"/>
                <w:szCs w:val="24"/>
              </w:rPr>
              <w:t>总</w:t>
            </w:r>
            <w:r>
              <w:rPr>
                <w:rFonts w:hint="eastAsia"/>
                <w:sz w:val="24"/>
                <w:szCs w:val="24"/>
                <w:lang w:eastAsia="zh-CN"/>
              </w:rPr>
              <w:t>数</w:t>
            </w:r>
            <w:r>
              <w:rPr>
                <w:rFonts w:hint="eastAsia"/>
                <w:sz w:val="24"/>
                <w:szCs w:val="24"/>
              </w:rPr>
              <w:t>量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*</w:t>
            </w:r>
            <w:r>
              <w:rPr>
                <w:rFonts w:hint="eastAsia"/>
                <w:sz w:val="24"/>
                <w:szCs w:val="24"/>
              </w:rPr>
              <w:t>100%</w:t>
            </w:r>
          </w:p>
          <w:p>
            <w:pPr>
              <w:pStyle w:val="15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2、无重大服务质量投诉。             </w:t>
            </w:r>
            <w:r>
              <w:rPr>
                <w:rFonts w:hint="eastAsia"/>
                <w:sz w:val="24"/>
                <w:szCs w:val="24"/>
                <w:lang w:eastAsia="zh-CN"/>
              </w:rPr>
              <w:t>顾客投诉数量/顾客投诉总量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pStyle w:val="15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3、固体废弃物分类处理率100%；      </w:t>
            </w:r>
            <w:r>
              <w:rPr>
                <w:rFonts w:hint="eastAsia"/>
                <w:sz w:val="24"/>
                <w:szCs w:val="24"/>
              </w:rPr>
              <w:t>年终统计结果</w:t>
            </w:r>
          </w:p>
          <w:p>
            <w:pPr>
              <w:pStyle w:val="15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4、火灾事故为0；                    </w:t>
            </w:r>
            <w:r>
              <w:rPr>
                <w:rFonts w:hint="eastAsia"/>
                <w:sz w:val="24"/>
                <w:szCs w:val="24"/>
              </w:rPr>
              <w:t>按实际统计</w:t>
            </w:r>
          </w:p>
          <w:p>
            <w:pPr>
              <w:pStyle w:val="15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5、触电事故为0。                    </w:t>
            </w:r>
            <w:r>
              <w:rPr>
                <w:rFonts w:hint="eastAsia"/>
                <w:sz w:val="24"/>
                <w:szCs w:val="24"/>
              </w:rPr>
              <w:t>按实际统计</w:t>
            </w:r>
          </w:p>
          <w:p>
            <w:pPr>
              <w:pStyle w:val="15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项目部目标</w:t>
            </w:r>
          </w:p>
          <w:tbl>
            <w:tblPr>
              <w:tblStyle w:val="8"/>
              <w:tblW w:w="4996" w:type="pct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87"/>
              <w:gridCol w:w="1816"/>
              <w:gridCol w:w="1597"/>
              <w:gridCol w:w="1325"/>
              <w:gridCol w:w="2695"/>
              <w:gridCol w:w="155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8" w:hRule="atLeast"/>
                <w:jc w:val="center"/>
              </w:trPr>
              <w:tc>
                <w:tcPr>
                  <w:tcW w:w="266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 w:val="24"/>
                      <w:szCs w:val="24"/>
                    </w:rPr>
                  </w:pPr>
                  <w:r>
                    <w:rPr>
                      <w:rFonts w:hint="eastAsia" w:ascii="宋体" w:hAnsi="宋体"/>
                      <w:sz w:val="24"/>
                      <w:szCs w:val="24"/>
                    </w:rPr>
                    <w:t>1</w:t>
                  </w:r>
                </w:p>
                <w:p>
                  <w:pPr>
                    <w:jc w:val="center"/>
                    <w:rPr>
                      <w:rFonts w:hint="eastAsia" w:ascii="宋体" w:hAnsi="宋体"/>
                      <w:sz w:val="24"/>
                      <w:szCs w:val="24"/>
                    </w:rPr>
                  </w:pPr>
                </w:p>
              </w:tc>
              <w:tc>
                <w:tcPr>
                  <w:tcW w:w="614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</w:rPr>
                    <w:t>顾客投诉率</w:t>
                  </w:r>
                </w:p>
              </w:tc>
              <w:tc>
                <w:tcPr>
                  <w:tcW w:w="540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eastAsia" w:eastAsia="宋体"/>
                      <w:bCs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  <w:lang w:val="en-US" w:eastAsia="zh-CN"/>
                    </w:rPr>
                    <w:t>0</w:t>
                  </w:r>
                </w:p>
              </w:tc>
              <w:tc>
                <w:tcPr>
                  <w:tcW w:w="448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bCs/>
                      <w:sz w:val="24"/>
                      <w:szCs w:val="24"/>
                    </w:rPr>
                    <w:t>半年/1次</w:t>
                  </w:r>
                </w:p>
              </w:tc>
              <w:tc>
                <w:tcPr>
                  <w:tcW w:w="911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</w:rPr>
                    <w:t>顾客投诉</w:t>
                  </w:r>
                  <w:r>
                    <w:rPr>
                      <w:rFonts w:hint="eastAsia"/>
                      <w:bCs/>
                      <w:sz w:val="24"/>
                      <w:szCs w:val="24"/>
                    </w:rPr>
                    <w:t>数量</w:t>
                  </w:r>
                  <w:r>
                    <w:rPr>
                      <w:rFonts w:hint="eastAsia" w:ascii="宋体" w:hAnsi="宋体" w:cs="宋体"/>
                      <w:sz w:val="24"/>
                      <w:szCs w:val="24"/>
                    </w:rPr>
                    <w:t>/顾客</w:t>
                  </w:r>
                  <w:r>
                    <w:rPr>
                      <w:rFonts w:hint="eastAsia" w:ascii="宋体" w:hAnsi="宋体" w:cs="宋体"/>
                      <w:sz w:val="24"/>
                      <w:szCs w:val="24"/>
                      <w:lang w:eastAsia="zh-CN"/>
                    </w:rPr>
                    <w:t>投诉</w:t>
                  </w:r>
                  <w:r>
                    <w:rPr>
                      <w:rFonts w:hint="eastAsia" w:ascii="宋体" w:hAnsi="宋体" w:cs="宋体"/>
                      <w:sz w:val="24"/>
                      <w:szCs w:val="24"/>
                    </w:rPr>
                    <w:t>总量</w:t>
                  </w:r>
                </w:p>
              </w:tc>
              <w:tc>
                <w:tcPr>
                  <w:tcW w:w="524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宋体" w:hAnsi="宋体"/>
                      <w:color w:val="000000"/>
                      <w:sz w:val="24"/>
                      <w:szCs w:val="24"/>
                      <w:lang w:val="en-US" w:eastAsia="zh-CN"/>
                    </w:rPr>
                    <w:t>0</w:t>
                  </w:r>
                  <w:r>
                    <w:rPr>
                      <w:rFonts w:hint="eastAsia" w:ascii="宋体" w:hAnsi="宋体"/>
                      <w:color w:val="000000"/>
                      <w:sz w:val="24"/>
                      <w:szCs w:val="24"/>
                    </w:rPr>
                    <w:t>，完成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30" w:hRule="atLeast"/>
                <w:jc w:val="center"/>
              </w:trPr>
              <w:tc>
                <w:tcPr>
                  <w:tcW w:w="266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ind w:firstLine="240" w:firstLineChars="100"/>
                    <w:rPr>
                      <w:rFonts w:hint="default" w:ascii="宋体" w:hAnsi="宋体" w:eastAsia="宋体" w:cs="宋体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  <w:lang w:val="en-US" w:eastAsia="zh-CN"/>
                    </w:rPr>
                    <w:t xml:space="preserve">2 </w:t>
                  </w:r>
                </w:p>
              </w:tc>
              <w:tc>
                <w:tcPr>
                  <w:tcW w:w="614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宋体" w:hAnsi="宋体" w:cs="宋体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  <w:lang w:eastAsia="zh-CN"/>
                    </w:rPr>
                    <w:t>顾客</w:t>
                  </w:r>
                  <w:r>
                    <w:rPr>
                      <w:rFonts w:hint="eastAsia"/>
                      <w:sz w:val="24"/>
                      <w:szCs w:val="24"/>
                    </w:rPr>
                    <w:t>满意率</w:t>
                  </w:r>
                </w:p>
              </w:tc>
              <w:tc>
                <w:tcPr>
                  <w:tcW w:w="540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eastAsia" w:ascii="宋体" w:hAnsi="宋体" w:cs="宋体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</w:rPr>
                    <w:t>≧</w:t>
                  </w:r>
                  <w:r>
                    <w:rPr>
                      <w:rFonts w:hint="eastAsia" w:ascii="宋体" w:hAnsi="宋体" w:cs="宋体"/>
                      <w:sz w:val="24"/>
                      <w:szCs w:val="24"/>
                      <w:lang w:val="en-US" w:eastAsia="zh-CN"/>
                    </w:rPr>
                    <w:t>90</w:t>
                  </w:r>
                  <w:r>
                    <w:rPr>
                      <w:rFonts w:hint="eastAsia" w:ascii="宋体" w:hAnsi="宋体" w:cs="宋体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448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cs="宋体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</w:rPr>
                    <w:t>半年/1次</w:t>
                  </w:r>
                </w:p>
              </w:tc>
              <w:tc>
                <w:tcPr>
                  <w:tcW w:w="911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宋体" w:hAnsi="宋体" w:cs="宋体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  <w:lang w:eastAsia="zh-CN"/>
                    </w:rPr>
                    <w:t>满意顾客</w:t>
                  </w:r>
                  <w:r>
                    <w:rPr>
                      <w:rFonts w:hint="eastAsia" w:ascii="宋体" w:hAnsi="宋体" w:cs="宋体"/>
                      <w:sz w:val="24"/>
                      <w:szCs w:val="24"/>
                    </w:rPr>
                    <w:t>数量/</w:t>
                  </w:r>
                  <w:r>
                    <w:rPr>
                      <w:rFonts w:hint="eastAsia" w:ascii="宋体" w:hAnsi="宋体" w:cs="宋体"/>
                      <w:sz w:val="24"/>
                      <w:szCs w:val="24"/>
                      <w:lang w:eastAsia="zh-CN"/>
                    </w:rPr>
                    <w:t>顾客</w:t>
                  </w:r>
                  <w:r>
                    <w:rPr>
                      <w:rFonts w:hint="eastAsia" w:ascii="宋体" w:hAnsi="宋体" w:cs="宋体"/>
                      <w:sz w:val="24"/>
                      <w:szCs w:val="24"/>
                    </w:rPr>
                    <w:t>总</w:t>
                  </w:r>
                  <w:r>
                    <w:rPr>
                      <w:rFonts w:hint="eastAsia" w:ascii="宋体" w:hAnsi="宋体" w:cs="宋体"/>
                      <w:sz w:val="24"/>
                      <w:szCs w:val="24"/>
                      <w:lang w:eastAsia="zh-CN"/>
                    </w:rPr>
                    <w:t>数</w:t>
                  </w:r>
                  <w:r>
                    <w:rPr>
                      <w:rFonts w:hint="eastAsia" w:ascii="宋体" w:hAnsi="宋体" w:cs="宋体"/>
                      <w:sz w:val="24"/>
                      <w:szCs w:val="24"/>
                    </w:rPr>
                    <w:t>量</w:t>
                  </w:r>
                </w:p>
              </w:tc>
              <w:tc>
                <w:tcPr>
                  <w:tcW w:w="524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top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 w:ascii="宋体" w:hAnsi="宋体"/>
                      <w:color w:val="000000"/>
                      <w:sz w:val="24"/>
                      <w:szCs w:val="24"/>
                    </w:rPr>
                    <w:t>1</w:t>
                  </w:r>
                  <w:r>
                    <w:rPr>
                      <w:rFonts w:ascii="宋体" w:hAnsi="宋体"/>
                      <w:color w:val="000000"/>
                      <w:sz w:val="24"/>
                      <w:szCs w:val="24"/>
                    </w:rPr>
                    <w:t>00</w:t>
                  </w:r>
                  <w:r>
                    <w:rPr>
                      <w:rFonts w:hint="eastAsia" w:ascii="宋体" w:hAnsi="宋体"/>
                      <w:color w:val="000000"/>
                      <w:sz w:val="24"/>
                      <w:szCs w:val="24"/>
                    </w:rPr>
                    <w:t>%，完成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8" w:hRule="atLeast"/>
                <w:jc w:val="center"/>
              </w:trPr>
              <w:tc>
                <w:tcPr>
                  <w:tcW w:w="266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4"/>
                      <w:szCs w:val="24"/>
                      <w:lang w:val="en-US" w:eastAsia="zh-CN"/>
                    </w:rPr>
                    <w:t>3</w:t>
                  </w:r>
                </w:p>
              </w:tc>
              <w:tc>
                <w:tcPr>
                  <w:tcW w:w="614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宋体" w:hAnsi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color w:val="000000"/>
                      <w:sz w:val="24"/>
                      <w:szCs w:val="24"/>
                    </w:rPr>
                    <w:t>主要设备设施完好率</w:t>
                  </w:r>
                </w:p>
              </w:tc>
              <w:tc>
                <w:tcPr>
                  <w:tcW w:w="540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color w:val="000000"/>
                      <w:sz w:val="24"/>
                      <w:szCs w:val="24"/>
                      <w:lang w:val="en-US" w:eastAsia="zh-CN"/>
                    </w:rPr>
                    <w:t>96</w:t>
                  </w:r>
                  <w:r>
                    <w:rPr>
                      <w:rFonts w:hint="eastAsia" w:ascii="宋体" w:hAnsi="宋体"/>
                      <w:color w:val="000000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448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4"/>
                      <w:szCs w:val="24"/>
                    </w:rPr>
                    <w:t>1</w:t>
                  </w:r>
                  <w:r>
                    <w:rPr>
                      <w:rFonts w:ascii="宋体" w:hAnsi="宋体"/>
                      <w:sz w:val="24"/>
                      <w:szCs w:val="24"/>
                    </w:rPr>
                    <w:t>次</w:t>
                  </w:r>
                  <w:r>
                    <w:rPr>
                      <w:rFonts w:hint="eastAsia" w:ascii="宋体" w:hAnsi="宋体"/>
                      <w:sz w:val="24"/>
                      <w:szCs w:val="24"/>
                    </w:rPr>
                    <w:t>/半年</w:t>
                  </w:r>
                </w:p>
              </w:tc>
              <w:tc>
                <w:tcPr>
                  <w:tcW w:w="911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left"/>
                    <w:rPr>
                      <w:rFonts w:hint="eastAsia" w:ascii="宋体" w:hAnsi="宋体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color w:val="000000"/>
                      <w:sz w:val="24"/>
                      <w:szCs w:val="24"/>
                    </w:rPr>
                    <w:t>设备完好数量/设备总数</w:t>
                  </w:r>
                </w:p>
              </w:tc>
              <w:tc>
                <w:tcPr>
                  <w:tcW w:w="524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color w:val="000000"/>
                      <w:sz w:val="24"/>
                      <w:szCs w:val="24"/>
                    </w:rPr>
                    <w:t>1</w:t>
                  </w:r>
                  <w:r>
                    <w:rPr>
                      <w:rFonts w:ascii="宋体" w:hAnsi="宋体"/>
                      <w:color w:val="000000"/>
                      <w:sz w:val="24"/>
                      <w:szCs w:val="24"/>
                    </w:rPr>
                    <w:t>00</w:t>
                  </w:r>
                  <w:r>
                    <w:rPr>
                      <w:rFonts w:hint="eastAsia" w:ascii="宋体" w:hAnsi="宋体"/>
                      <w:color w:val="000000"/>
                      <w:sz w:val="24"/>
                      <w:szCs w:val="24"/>
                    </w:rPr>
                    <w:t>%，完成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8" w:hRule="atLeast"/>
                <w:jc w:val="center"/>
              </w:trPr>
              <w:tc>
                <w:tcPr>
                  <w:tcW w:w="266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4"/>
                      <w:szCs w:val="24"/>
                      <w:lang w:val="en-US" w:eastAsia="zh-CN"/>
                    </w:rPr>
                    <w:t>4</w:t>
                  </w:r>
                </w:p>
              </w:tc>
              <w:tc>
                <w:tcPr>
                  <w:tcW w:w="614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合同履约率</w:t>
                  </w:r>
                </w:p>
              </w:tc>
              <w:tc>
                <w:tcPr>
                  <w:tcW w:w="540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top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100%</w:t>
                  </w:r>
                </w:p>
              </w:tc>
              <w:tc>
                <w:tcPr>
                  <w:tcW w:w="448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top"/>
                </w:tcPr>
                <w:p>
                  <w:pPr>
                    <w:jc w:val="center"/>
                    <w:rPr>
                      <w:rFonts w:hint="eastAsia" w:ascii="宋体" w:hAnsi="宋体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</w:rPr>
                    <w:t>1</w:t>
                  </w:r>
                  <w:r>
                    <w:rPr>
                      <w:rFonts w:ascii="宋体" w:hAnsi="宋体"/>
                      <w:color w:val="auto"/>
                      <w:sz w:val="24"/>
                      <w:szCs w:val="24"/>
                    </w:rPr>
                    <w:t>次</w:t>
                  </w: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</w:rPr>
                    <w:t>/半年</w:t>
                  </w:r>
                </w:p>
              </w:tc>
              <w:tc>
                <w:tcPr>
                  <w:tcW w:w="911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top"/>
                </w:tcPr>
                <w:p>
                  <w:pPr>
                    <w:rPr>
                      <w:rFonts w:hint="eastAsia" w:ascii="宋体" w:hAnsi="宋体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  <w:lang w:eastAsia="zh-CN"/>
                    </w:rPr>
                    <w:fldChar w:fldCharType="begin"/>
                  </w: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  <w:lang w:eastAsia="zh-CN"/>
                    </w:rPr>
                    <w:instrText xml:space="preserve"> HYPERLINK "https://baike.so.com/doc/819535-866759.html" \t "https://baike.so.com/doc/_blank" </w:instrText>
                  </w: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  <w:lang w:eastAsia="zh-CN"/>
                    </w:rPr>
                    <w:fldChar w:fldCharType="separate"/>
                  </w: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  <w:lang w:eastAsia="zh-CN"/>
                    </w:rPr>
                    <w:t>实际</w:t>
                  </w: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履约</w:t>
                  </w: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  <w:lang w:eastAsia="zh-CN"/>
                    </w:rPr>
                    <w:fldChar w:fldCharType="end"/>
                  </w: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  <w:lang w:eastAsia="zh-CN"/>
                    </w:rPr>
                    <w:t>合同数</w:t>
                  </w: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  <w:lang w:val="en-US" w:eastAsia="zh-CN"/>
                    </w:rPr>
                    <w:t>/总签约</w:t>
                  </w: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  <w:lang w:eastAsia="zh-CN"/>
                    </w:rPr>
                    <w:t>合同数</w:t>
                  </w: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  <w:lang w:val="en-US" w:eastAsia="zh-CN"/>
                    </w:rPr>
                    <w:t>*</w:t>
                  </w: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524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eastAsia" w:ascii="宋体" w:hAnsi="宋体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</w:rPr>
                    <w:t>1</w:t>
                  </w:r>
                  <w:r>
                    <w:rPr>
                      <w:rFonts w:ascii="宋体" w:hAnsi="宋体"/>
                      <w:color w:val="auto"/>
                      <w:sz w:val="24"/>
                      <w:szCs w:val="24"/>
                    </w:rPr>
                    <w:t>00</w:t>
                  </w: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</w:rPr>
                    <w:t>%，完成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8" w:hRule="atLeast"/>
                <w:jc w:val="center"/>
              </w:trPr>
              <w:tc>
                <w:tcPr>
                  <w:tcW w:w="266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  <w:lang w:val="en-US" w:eastAsia="zh-CN"/>
                    </w:rPr>
                    <w:t>5</w:t>
                  </w:r>
                </w:p>
              </w:tc>
              <w:tc>
                <w:tcPr>
                  <w:tcW w:w="614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rPr>
                      <w:rFonts w:hint="eastAsia" w:ascii="宋体" w:hAnsi="宋体" w:cs="宋体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4"/>
                      <w:szCs w:val="24"/>
                    </w:rPr>
                    <w:t>固体废弃物分类处理率</w:t>
                  </w:r>
                </w:p>
              </w:tc>
              <w:tc>
                <w:tcPr>
                  <w:tcW w:w="540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cs="宋体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448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cs="宋体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</w:rPr>
                    <w:t>半年/1次</w:t>
                  </w:r>
                </w:p>
              </w:tc>
              <w:tc>
                <w:tcPr>
                  <w:tcW w:w="911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宋体" w:hAnsi="宋体" w:cs="宋体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</w:rPr>
                    <w:t>固废分类收集，合法处置次数/总次数</w:t>
                  </w:r>
                </w:p>
              </w:tc>
              <w:tc>
                <w:tcPr>
                  <w:tcW w:w="524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top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 w:ascii="宋体" w:hAnsi="宋体"/>
                      <w:color w:val="000000"/>
                      <w:sz w:val="24"/>
                      <w:szCs w:val="24"/>
                    </w:rPr>
                    <w:t>1</w:t>
                  </w:r>
                  <w:r>
                    <w:rPr>
                      <w:rFonts w:ascii="宋体" w:hAnsi="宋体"/>
                      <w:color w:val="000000"/>
                      <w:sz w:val="24"/>
                      <w:szCs w:val="24"/>
                    </w:rPr>
                    <w:t>00</w:t>
                  </w:r>
                  <w:r>
                    <w:rPr>
                      <w:rFonts w:hint="eastAsia" w:ascii="宋体" w:hAnsi="宋体"/>
                      <w:color w:val="000000"/>
                      <w:sz w:val="24"/>
                      <w:szCs w:val="24"/>
                    </w:rPr>
                    <w:t>%，完成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8" w:hRule="atLeast"/>
                <w:jc w:val="center"/>
              </w:trPr>
              <w:tc>
                <w:tcPr>
                  <w:tcW w:w="266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4"/>
                      <w:szCs w:val="24"/>
                      <w:lang w:val="en-US" w:eastAsia="zh-CN"/>
                    </w:rPr>
                    <w:t>6</w:t>
                  </w:r>
                </w:p>
              </w:tc>
              <w:tc>
                <w:tcPr>
                  <w:tcW w:w="614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440" w:lineRule="exact"/>
                    <w:rPr>
                      <w:rFonts w:hint="eastAsia" w:ascii="宋体" w:hAnsi="宋体" w:cs="宋体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火灾</w:t>
                  </w:r>
                  <w:r>
                    <w:rPr>
                      <w:rFonts w:hint="eastAsia"/>
                      <w:sz w:val="24"/>
                      <w:szCs w:val="24"/>
                      <w:lang w:eastAsia="zh-CN"/>
                    </w:rPr>
                    <w:t>事故</w:t>
                  </w:r>
                </w:p>
              </w:tc>
              <w:tc>
                <w:tcPr>
                  <w:tcW w:w="540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cs="宋体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48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</w:rPr>
                    <w:t>半年/次</w:t>
                  </w:r>
                </w:p>
              </w:tc>
              <w:tc>
                <w:tcPr>
                  <w:tcW w:w="911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宋体" w:hAnsi="宋体" w:cs="宋体"/>
                      <w:sz w:val="24"/>
                      <w:szCs w:val="24"/>
                    </w:rPr>
                  </w:pPr>
                  <w:r>
                    <w:rPr>
                      <w:rFonts w:hint="eastAsia" w:ascii="宋体" w:hAnsi="宋体"/>
                      <w:color w:val="000000"/>
                      <w:sz w:val="24"/>
                      <w:szCs w:val="24"/>
                    </w:rPr>
                    <w:t>按实际统计</w:t>
                  </w:r>
                </w:p>
              </w:tc>
              <w:tc>
                <w:tcPr>
                  <w:tcW w:w="524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top"/>
                </w:tcPr>
                <w:p>
                  <w:pPr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0，完成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8" w:hRule="atLeast"/>
                <w:jc w:val="center"/>
              </w:trPr>
              <w:tc>
                <w:tcPr>
                  <w:tcW w:w="266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宋体" w:hAnsi="宋体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7</w:t>
                  </w:r>
                </w:p>
              </w:tc>
              <w:tc>
                <w:tcPr>
                  <w:tcW w:w="614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触电事故</w:t>
                  </w:r>
                </w:p>
              </w:tc>
              <w:tc>
                <w:tcPr>
                  <w:tcW w:w="540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top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448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top"/>
                </w:tcPr>
                <w:p>
                  <w:pPr>
                    <w:jc w:val="center"/>
                    <w:rPr>
                      <w:rFonts w:hint="eastAsia" w:ascii="宋体" w:hAnsi="宋体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</w:rPr>
                    <w:t>1</w:t>
                  </w:r>
                  <w:r>
                    <w:rPr>
                      <w:rFonts w:ascii="宋体" w:hAnsi="宋体"/>
                      <w:color w:val="auto"/>
                      <w:sz w:val="24"/>
                      <w:szCs w:val="24"/>
                    </w:rPr>
                    <w:t>次</w:t>
                  </w: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</w:rPr>
                    <w:t>/半年</w:t>
                  </w:r>
                </w:p>
              </w:tc>
              <w:tc>
                <w:tcPr>
                  <w:tcW w:w="911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top"/>
                </w:tcPr>
                <w:p>
                  <w:pPr>
                    <w:rPr>
                      <w:rFonts w:hint="eastAsia" w:ascii="宋体" w:hAnsi="宋体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color w:val="auto"/>
                      <w:sz w:val="24"/>
                      <w:szCs w:val="24"/>
                      <w:lang w:eastAsia="zh-CN"/>
                    </w:rPr>
                    <w:t>按实际统计</w:t>
                  </w:r>
                </w:p>
              </w:tc>
              <w:tc>
                <w:tcPr>
                  <w:tcW w:w="524" w:type="pc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top"/>
                </w:tcPr>
                <w:p>
                  <w:pPr>
                    <w:jc w:val="center"/>
                    <w:rPr>
                      <w:rFonts w:hint="eastAsia"/>
                      <w:color w:val="auto"/>
                      <w:sz w:val="24"/>
                      <w:szCs w:val="24"/>
                    </w:rPr>
                  </w:pPr>
                  <w:r>
                    <w:rPr>
                      <w:rFonts w:hint="eastAsia"/>
                      <w:color w:val="auto"/>
                      <w:sz w:val="24"/>
                      <w:szCs w:val="24"/>
                    </w:rPr>
                    <w:t>0，完成</w:t>
                  </w:r>
                </w:p>
              </w:tc>
            </w:tr>
          </w:tbl>
          <w:p>
            <w:pPr>
              <w:rPr>
                <w:sz w:val="24"/>
                <w:szCs w:val="24"/>
              </w:rPr>
            </w:pPr>
          </w:p>
          <w:p>
            <w:pPr>
              <w:pStyle w:val="2"/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——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部门目标已达成。</w:t>
            </w:r>
          </w:p>
        </w:tc>
        <w:tc>
          <w:tcPr>
            <w:tcW w:w="1585" w:type="dxa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</w:trPr>
        <w:tc>
          <w:tcPr>
            <w:tcW w:w="216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ascii="宋体" w:hAnsi="宋体" w:cs="Arial"/>
                <w:sz w:val="24"/>
                <w:szCs w:val="24"/>
              </w:rPr>
              <w:t>环境因素</w:t>
            </w:r>
            <w:r>
              <w:rPr>
                <w:rFonts w:hint="eastAsia" w:ascii="宋体" w:hAnsi="宋体" w:cs="Arial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Arial"/>
                <w:sz w:val="24"/>
                <w:szCs w:val="24"/>
              </w:rPr>
              <w:t>危险源辨识与评价</w:t>
            </w:r>
          </w:p>
        </w:tc>
        <w:tc>
          <w:tcPr>
            <w:tcW w:w="96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t>EO</w:t>
            </w:r>
            <w:r>
              <w:rPr>
                <w:rFonts w:ascii="宋体" w:hAnsi="宋体" w:cs="Arial"/>
                <w:sz w:val="24"/>
                <w:szCs w:val="24"/>
              </w:rPr>
              <w:t>6.1.2</w:t>
            </w:r>
          </w:p>
        </w:tc>
        <w:tc>
          <w:tcPr>
            <w:tcW w:w="10004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---按主控部门策划对本部门的环境因素及危险源进行识别。</w:t>
            </w:r>
          </w:p>
          <w:p>
            <w:pPr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查“环境因素识别评价表（项目部）”，2022.01.04，识别了公司日常办公识别的环境因素：水的使用、电的使用、生活污水排放，塑料包装物的丢弃、硒鼓墨盒的废弃、项目现场、客户参观活动等共计30种。制定了相应的控制措施如公司消防管理办法。</w:t>
            </w:r>
          </w:p>
          <w:p>
            <w:pPr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查“重要环境因素登记表 ”，2022.01.04，共3个，分别为办公、保洁服务活动过程中火灾，固体垃圾废弃物的排放，</w:t>
            </w:r>
            <w:r>
              <w:rPr>
                <w:rFonts w:hint="eastAsia"/>
                <w:sz w:val="24"/>
                <w:szCs w:val="24"/>
                <w:lang w:eastAsia="zh-CN"/>
              </w:rPr>
              <w:t>使用过的口罩未按照要求处置，随意丢弃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针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对重要环境因素制定了相应的环境目标/指标管理方案。</w:t>
            </w:r>
          </w:p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查“危险源辨识及风险评价表---项目部”，2022.01.04，识别了危险源：电线裸露，车辆故障，高温、严寒天气等共27项。</w:t>
            </w:r>
          </w:p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查“不可接受风险登记表 ”2022.01.04，共识别不可接受风险5项：潜在火灾，触电，机械伤害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ab/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，高处坠落、落物伤人，新冠疫情导致的人身伤害；控制方式：目标控制、管理方案、运行控制、应急预案等</w:t>
            </w:r>
          </w:p>
          <w:p>
            <w:pPr>
              <w:rPr>
                <w:rFonts w:hint="default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——基本符合</w:t>
            </w:r>
          </w:p>
        </w:tc>
        <w:tc>
          <w:tcPr>
            <w:tcW w:w="1585" w:type="dxa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7" w:hRule="atLeast"/>
        </w:trPr>
        <w:tc>
          <w:tcPr>
            <w:tcW w:w="2160" w:type="dxa"/>
          </w:tcPr>
          <w:p>
            <w:pPr>
              <w:rPr>
                <w:rFonts w:hint="eastAsia" w:ascii="宋体" w:hAnsi="宋体" w:cs="Arial"/>
                <w:sz w:val="24"/>
                <w:szCs w:val="24"/>
              </w:rPr>
            </w:pPr>
            <w:r>
              <w:rPr>
                <w:rFonts w:hint="eastAsia" w:ascii="宋体" w:hAnsi="宋体" w:cs="Arial"/>
                <w:sz w:val="24"/>
                <w:szCs w:val="24"/>
              </w:rPr>
              <w:t>运行策划和控制</w:t>
            </w:r>
          </w:p>
        </w:tc>
        <w:tc>
          <w:tcPr>
            <w:tcW w:w="960" w:type="dxa"/>
          </w:tcPr>
          <w:p>
            <w:pPr>
              <w:rPr>
                <w:rFonts w:hint="default" w:ascii="宋体" w:hAnsi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t>Q8.1</w:t>
            </w:r>
          </w:p>
        </w:tc>
        <w:tc>
          <w:tcPr>
            <w:tcW w:w="10004" w:type="dxa"/>
          </w:tcPr>
          <w:p>
            <w:pPr>
              <w:numPr>
                <w:ilvl w:val="0"/>
                <w:numId w:val="2"/>
              </w:numPr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策划有《</w:t>
            </w:r>
            <w:r>
              <w:rPr>
                <w:rFonts w:hint="eastAsia"/>
                <w:sz w:val="24"/>
                <w:szCs w:val="24"/>
              </w:rPr>
              <w:t>与顾客有关的过程控制程序</w:t>
            </w:r>
            <w:r>
              <w:rPr>
                <w:rFonts w:hint="eastAsia"/>
                <w:sz w:val="24"/>
                <w:szCs w:val="24"/>
                <w:lang w:eastAsia="zh-CN"/>
              </w:rPr>
              <w:t>》、《</w:t>
            </w:r>
            <w:r>
              <w:rPr>
                <w:rFonts w:hint="eastAsia"/>
                <w:sz w:val="24"/>
                <w:szCs w:val="24"/>
              </w:rPr>
              <w:t>标识使用管理控制程序</w:t>
            </w:r>
            <w:r>
              <w:rPr>
                <w:rFonts w:hint="eastAsia"/>
                <w:sz w:val="24"/>
                <w:szCs w:val="24"/>
                <w:lang w:eastAsia="zh-CN"/>
              </w:rPr>
              <w:t>》、《</w:t>
            </w:r>
            <w:r>
              <w:rPr>
                <w:rFonts w:hint="eastAsia"/>
                <w:sz w:val="24"/>
                <w:szCs w:val="24"/>
              </w:rPr>
              <w:t>采购控制程序</w:t>
            </w:r>
            <w:r>
              <w:rPr>
                <w:rFonts w:hint="eastAsia"/>
                <w:sz w:val="24"/>
                <w:szCs w:val="24"/>
                <w:lang w:eastAsia="zh-CN"/>
              </w:rPr>
              <w:t>》、《</w:t>
            </w:r>
            <w:r>
              <w:rPr>
                <w:rFonts w:hint="eastAsia"/>
                <w:sz w:val="24"/>
                <w:szCs w:val="24"/>
              </w:rPr>
              <w:t>监视和测量设备控制程序</w:t>
            </w:r>
            <w:r>
              <w:rPr>
                <w:rFonts w:hint="eastAsia"/>
                <w:sz w:val="24"/>
                <w:szCs w:val="24"/>
                <w:lang w:eastAsia="zh-CN"/>
              </w:rPr>
              <w:t>》、《</w:t>
            </w:r>
            <w:r>
              <w:rPr>
                <w:rFonts w:hint="eastAsia"/>
                <w:sz w:val="24"/>
                <w:szCs w:val="24"/>
              </w:rPr>
              <w:t>过程和服务的绩效监视和测量控制程序</w:t>
            </w:r>
            <w:r>
              <w:rPr>
                <w:rFonts w:hint="eastAsia"/>
                <w:sz w:val="24"/>
                <w:szCs w:val="24"/>
                <w:lang w:eastAsia="zh-CN"/>
              </w:rPr>
              <w:t>》、《</w:t>
            </w:r>
            <w:r>
              <w:rPr>
                <w:rFonts w:hint="eastAsia"/>
                <w:sz w:val="24"/>
                <w:szCs w:val="24"/>
              </w:rPr>
              <w:t>废弃物管理控制程序</w:t>
            </w:r>
            <w:r>
              <w:rPr>
                <w:rFonts w:hint="eastAsia"/>
                <w:sz w:val="24"/>
                <w:szCs w:val="24"/>
                <w:lang w:eastAsia="zh-CN"/>
              </w:rPr>
              <w:t>》、《环境运行控制程序》、《职业健康安全运行控制程序》、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t>”</w:t>
            </w:r>
            <w:r>
              <w:rPr>
                <w:rFonts w:hint="eastAsia"/>
                <w:sz w:val="24"/>
                <w:szCs w:val="24"/>
                <w:lang w:eastAsia="zh-CN"/>
              </w:rPr>
              <w:t>保洁管理方案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t>”</w:t>
            </w:r>
            <w:r>
              <w:rPr>
                <w:rFonts w:hint="eastAsia"/>
                <w:sz w:val="24"/>
                <w:szCs w:val="24"/>
                <w:lang w:eastAsia="zh-CN"/>
              </w:rPr>
              <w:t>，“保洁作业指导书”，“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保洁记录表”等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相关文件和记录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>
            <w:pPr>
              <w:pStyle w:val="3"/>
              <w:numPr>
                <w:ilvl w:val="0"/>
                <w:numId w:val="2"/>
              </w:numPr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产品标准：</w:t>
            </w:r>
            <w:r>
              <w:rPr>
                <w:rFonts w:hint="eastAsia" w:eastAsia="宋体" w:cs="Times New Roman"/>
                <w:sz w:val="24"/>
                <w:szCs w:val="24"/>
                <w:lang w:val="en-US" w:eastAsia="zh-CN"/>
              </w:rPr>
              <w:t>同客户签订的合同要求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、相关法律法规</w:t>
            </w:r>
            <w:r>
              <w:rPr>
                <w:rFonts w:hint="eastAsia" w:eastAsia="宋体" w:cs="Times New Roman"/>
                <w:sz w:val="24"/>
                <w:szCs w:val="24"/>
                <w:lang w:val="en-US" w:eastAsia="zh-CN"/>
              </w:rPr>
              <w:t>及其他要求。</w:t>
            </w:r>
          </w:p>
          <w:p>
            <w:pPr>
              <w:pStyle w:val="3"/>
              <w:numPr>
                <w:ilvl w:val="0"/>
                <w:numId w:val="2"/>
              </w:num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策划的业务流程：</w:t>
            </w:r>
          </w:p>
          <w:p>
            <w:pPr>
              <w:bidi w:val="0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物业管理服务（保洁，绿化）：投标中标——总结并重新对项目进行分析——确定新的作业目标定位——制定新的作业标准——重新划分作业区域和任务——重新调配作业力量分配任务——落实任务签订责任状——开始新一轮作业实施——考核循环</w:t>
            </w:r>
          </w:p>
          <w:p>
            <w:pPr>
              <w:pStyle w:val="3"/>
              <w:spacing w:line="240" w:lineRule="auto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销售流程：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客户订单-合同评审-签订合同-确认订单-实施采购-进货检验-发货交付客户-售后服务；</w:t>
            </w:r>
          </w:p>
          <w:p>
            <w:pPr>
              <w:pStyle w:val="2"/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人员无特殊资质要求，均接受过质量培训。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5、提供的资源有办公场地，扫把、拖把、垃圾桶等生产工具，管理人员、智能手机等测量、监视工具。</w:t>
            </w:r>
          </w:p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——能够满足组织现阶段经营需求。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7" w:hRule="atLeast"/>
        </w:trPr>
        <w:tc>
          <w:tcPr>
            <w:tcW w:w="2160" w:type="dxa"/>
          </w:tcPr>
          <w:p>
            <w:pPr>
              <w:rPr>
                <w:rFonts w:hint="eastAsia" w:ascii="宋体" w:hAnsi="宋体" w:cs="Arial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</w:rPr>
              <w:t>产品和服务的要求；</w:t>
            </w:r>
          </w:p>
        </w:tc>
        <w:tc>
          <w:tcPr>
            <w:tcW w:w="960" w:type="dxa"/>
          </w:tcPr>
          <w:p>
            <w:pPr>
              <w:rPr>
                <w:rFonts w:hint="default" w:ascii="宋体" w:hAnsi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t>Q8.2</w:t>
            </w:r>
          </w:p>
        </w:tc>
        <w:tc>
          <w:tcPr>
            <w:tcW w:w="10004" w:type="dxa"/>
          </w:tcPr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---策划：与顾客有关的过程控制程序。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---顾客沟通：通过电话及微信沟通服务内容。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---查合同及合同评审：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抽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阳江镇仓杨线绿化养护合同；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期限：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2022.05.12.-2023.05.11；合同约定：服务内容：养护服务；质量标准、结算方式、违约责任等。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2967355" cy="2362200"/>
                  <wp:effectExtent l="0" t="0" r="4445" b="0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drawing>
                <wp:inline distT="0" distB="0" distL="114300" distR="114300">
                  <wp:extent cx="2720340" cy="2346325"/>
                  <wp:effectExtent l="0" t="0" r="7620" b="635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34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跟踪核查其合同评审表：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项目名称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道路及绿化养护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联系人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李月兵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需求单位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南京市高淳区阳江镇人民政府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联系方式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13912912166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顾客需求概况: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阳江镇仓阳线道路及绿化养护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部门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评审内容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评审意见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评审人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日期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项目部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能否完成合同内容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√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时华林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2022.05.12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能否满足顾客的要求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√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综合部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合同的合法性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√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赵淑璐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2022.05.12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物业服务实施是否可行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√</w:t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总经理审批意见: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可以进行服务，并按期交付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签名/日期:孙传鸿 2022.05.12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---负责人介绍，合同要求未发生变更。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——基本符合</w:t>
            </w:r>
          </w:p>
        </w:tc>
        <w:tc>
          <w:tcPr>
            <w:tcW w:w="1585" w:type="dxa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7" w:hRule="atLeast"/>
        </w:trPr>
        <w:tc>
          <w:tcPr>
            <w:tcW w:w="2160" w:type="dxa"/>
          </w:tcPr>
          <w:p>
            <w:pPr>
              <w:rPr>
                <w:rFonts w:hint="eastAsia"/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</w:rPr>
              <w:t>生产和服务的提供；ES运行控制/含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阳江镇仓杨线绿化养护服务现场</w:t>
            </w:r>
          </w:p>
        </w:tc>
        <w:tc>
          <w:tcPr>
            <w:tcW w:w="960" w:type="dxa"/>
          </w:tcPr>
          <w:p>
            <w:pPr>
              <w:rPr>
                <w:rFonts w:hint="default" w:ascii="宋体" w:hAnsi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t>Q8.5/ES8.1</w:t>
            </w:r>
          </w:p>
        </w:tc>
        <w:tc>
          <w:tcPr>
            <w:tcW w:w="10004" w:type="dxa"/>
          </w:tcPr>
          <w:p>
            <w:pPr>
              <w:pStyle w:val="3"/>
              <w:spacing w:line="240" w:lineRule="auto"/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1、产品：物业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管理服务（保洁，绿化）；建筑材料销售。</w:t>
            </w:r>
          </w:p>
          <w:p>
            <w:pPr>
              <w:pStyle w:val="3"/>
              <w:spacing w:line="24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2、产品要求：顾客合同要求及行业相关的法律法规。</w:t>
            </w:r>
          </w:p>
          <w:p>
            <w:pPr>
              <w:pStyle w:val="3"/>
              <w:spacing w:line="24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3、策划的过程：</w:t>
            </w:r>
          </w:p>
          <w:p>
            <w:pPr>
              <w:pStyle w:val="3"/>
              <w:spacing w:line="24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物业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管理服务（保洁，绿化）；</w:t>
            </w: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投标中标——总结并重新对项目进行分析——确定新的作业目标定位——制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定新的作业标准——重新划分作业区域和任务——重新调配作业力量分配任务——落实任务签订责任状——开始新一轮作业实施——考核循环；</w:t>
            </w:r>
          </w:p>
          <w:p>
            <w:pPr>
              <w:pStyle w:val="3"/>
              <w:spacing w:line="240" w:lineRule="auto"/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建筑材料销售：客户订单-合同评审-签订合同-确认订单-实施采购-进货检验-发货交付客户-售后服务；</w:t>
            </w:r>
          </w:p>
          <w:p>
            <w:pPr>
              <w:pStyle w:val="3"/>
              <w:spacing w:line="240" w:lineRule="auto"/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经识别的特殊过程：无。</w:t>
            </w:r>
          </w:p>
          <w:p>
            <w:pPr>
              <w:pStyle w:val="3"/>
              <w:spacing w:line="240" w:lineRule="auto"/>
              <w:rPr>
                <w:rFonts w:hint="default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4、策划的文件和记录：《采购控制程序》，《与顾客有关的过程控制程序》，《标识使用管理控制程序》，《相关方服务和施加影响控制程序》，《顾客满意度调查控制程序》，“保洁管理方案”，“保洁作业指导书”，“销售服务过程作业指导书”、“保洁记录表”、“绿化养护记录表”等。</w:t>
            </w:r>
          </w:p>
          <w:p>
            <w:pPr>
              <w:pStyle w:val="3"/>
              <w:spacing w:line="24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5、人员无特殊资质要求，均接受过质量培训。</w:t>
            </w:r>
          </w:p>
          <w:p>
            <w:pPr>
              <w:pStyle w:val="3"/>
              <w:spacing w:line="24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6、提供的资源有办公场地，扫把、拖把、垃圾桶等生产工具，管理人员、智能手机等测量、监视工具。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---查过程证据：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-建材销售</w:t>
            </w:r>
          </w:p>
          <w:p>
            <w:pPr>
              <w:pStyle w:val="3"/>
              <w:numPr>
                <w:ilvl w:val="0"/>
                <w:numId w:val="3"/>
              </w:num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提供有政府采购的招标信息及中标公告；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*招标信息如下：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4274820" cy="2430780"/>
                  <wp:effectExtent l="0" t="0" r="762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2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*中标公告如下：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4259580" cy="4396740"/>
                  <wp:effectExtent l="0" t="0" r="7620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580" cy="439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2、提供有与下游的销售合同：甲方：南京高淳区固城街道办；乙方：南京淳兴物业服务有限公司；时间：2021.12.5.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产品：污水管网材料供应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3177540" cy="2987040"/>
                  <wp:effectExtent l="0" t="0" r="762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9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drawing>
                <wp:inline distT="0" distB="0" distL="114300" distR="114300">
                  <wp:extent cx="2947035" cy="2976880"/>
                  <wp:effectExtent l="0" t="0" r="9525" b="1016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035" cy="297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3、提供有上游的采购合同：甲方：南京淳兴物业服务有限公司；乙方：南京众信建材工程有限公司；时间：2021.12.16.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产品：污水管网材料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3825240" cy="4564380"/>
                  <wp:effectExtent l="0" t="0" r="0" b="762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240" cy="45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4、提供有销售产品的检测报告及产品合格证：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1526540" cy="2482850"/>
                  <wp:effectExtent l="0" t="0" r="12700" b="127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drawing>
                <wp:inline distT="0" distB="0" distL="114300" distR="114300">
                  <wp:extent cx="1551305" cy="2544445"/>
                  <wp:effectExtent l="0" t="0" r="3175" b="63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drawing>
                <wp:inline distT="0" distB="0" distL="114300" distR="114300">
                  <wp:extent cx="1606550" cy="2554605"/>
                  <wp:effectExtent l="0" t="0" r="8890" b="5715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55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drawing>
                <wp:inline distT="0" distB="0" distL="114300" distR="114300">
                  <wp:extent cx="1338580" cy="2550160"/>
                  <wp:effectExtent l="0" t="0" r="2540" b="1016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2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2"/>
              </w:numPr>
              <w:spacing w:line="240" w:lineRule="auto"/>
              <w:ind w:left="0" w:leftChars="0" w:firstLine="0" w:firstLine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提供有甲方的验收确认单：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5257800" cy="3230880"/>
                  <wp:effectExtent l="0" t="0" r="0" b="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32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——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建材销售过程控制符合要求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-</w:t>
            </w:r>
            <w:r>
              <w:rPr>
                <w:sz w:val="24"/>
                <w:szCs w:val="24"/>
              </w:rPr>
              <w:t>物业管理服务（保洁，绿化）</w:t>
            </w:r>
          </w:p>
          <w:p>
            <w:pPr>
              <w:pStyle w:val="3"/>
              <w:numPr>
                <w:ilvl w:val="0"/>
                <w:numId w:val="4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提供有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“保洁记录表”：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内容包括区域位置、基本情况、保洁员、检查人、不符合处置等。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抽查：7.12.审核当天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阳江镇仓杨线绿化养护服务现场保洁记录：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2621280" cy="2139315"/>
                  <wp:effectExtent l="0" t="0" r="0" b="9525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4"/>
              </w:numPr>
              <w:spacing w:line="240" w:lineRule="auto"/>
              <w:ind w:left="0" w:leftChars="0" w:firstLine="0" w:firstLine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提供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有“绿化养护记录表”，内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容包括区域位置、基本情况、养护员、检查人、不符合处置等。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抽查：7.12.审核当天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阳江镇仓杨线绿化养护服务现场养护记录：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3413760" cy="2526665"/>
                  <wp:effectExtent l="0" t="0" r="0" b="3175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52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3、远程视频查看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阳江镇仓杨线绿化养护服务现场：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*保洁员正在进行外场清扫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5295900" cy="3680460"/>
                  <wp:effectExtent l="0" t="0" r="7620" b="762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368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*养护员正在绿化带里进行除草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3549015" cy="3886200"/>
                  <wp:effectExtent l="0" t="0" r="1905" b="0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——保洁、绿化过程控制基本符合。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---标识：通过记录表进行标识，能够追溯到区域、时间、责任人。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---防护：通过劳保用品对工人进行防护，通过文件夹、文件柜对文件进行防护。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---顾客财产：主要是顾客信息，按规定保存。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---交付后的活动：负责人介绍，交付后的活动主要是结算，客情维护等。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---更改控制：负责人介绍，监督期内，服务未发生变更。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——年度保持基本符合</w:t>
            </w:r>
          </w:p>
        </w:tc>
        <w:tc>
          <w:tcPr>
            <w:tcW w:w="1585" w:type="dxa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7" w:hRule="atLeast"/>
        </w:trPr>
        <w:tc>
          <w:tcPr>
            <w:tcW w:w="2160" w:type="dxa"/>
          </w:tcPr>
          <w:p>
            <w:pPr>
              <w:rPr>
                <w:rFonts w:hint="eastAsia"/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</w:rPr>
              <w:t>产品和服务的放行</w:t>
            </w:r>
          </w:p>
        </w:tc>
        <w:tc>
          <w:tcPr>
            <w:tcW w:w="960" w:type="dxa"/>
          </w:tcPr>
          <w:p>
            <w:pP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Q8.6</w:t>
            </w:r>
          </w:p>
        </w:tc>
        <w:tc>
          <w:tcPr>
            <w:tcW w:w="10004" w:type="dxa"/>
          </w:tcPr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策划：采购控制程序、与顾客有关的过程控制程序、，保洁管理方案，保洁作业指导书、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eastAsia="zh-CN"/>
              </w:rPr>
              <w:t>物业管理（保洁服务）及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售后要求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eastAsia="zh-CN"/>
              </w:rPr>
              <w:t>。</w:t>
            </w:r>
          </w:p>
          <w:p>
            <w:pPr>
              <w:pStyle w:val="3"/>
              <w:numPr>
                <w:ilvl w:val="0"/>
                <w:numId w:val="5"/>
              </w:num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采购验收：由项目部经理查看数量、外观、规格、质量证明等，签字后验收。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3276600" cy="2446020"/>
                  <wp:effectExtent l="0" t="0" r="0" b="7620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5"/>
              </w:numPr>
              <w:spacing w:line="240" w:lineRule="auto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过程验收及最终放行：提供有“绿化养护记录表”、“保洁记录表”，“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验收确认单”，具体抽样见8.5.1条款。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——基本符合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7" w:hRule="atLeast"/>
        </w:trPr>
        <w:tc>
          <w:tcPr>
            <w:tcW w:w="2160" w:type="dxa"/>
          </w:tcPr>
          <w:p>
            <w:pPr>
              <w:rPr>
                <w:rFonts w:hint="eastAsia"/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</w:rPr>
              <w:t>不合格输出的控制</w:t>
            </w:r>
          </w:p>
        </w:tc>
        <w:tc>
          <w:tcPr>
            <w:tcW w:w="960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Q8.7</w:t>
            </w:r>
          </w:p>
        </w:tc>
        <w:tc>
          <w:tcPr>
            <w:tcW w:w="10004" w:type="dxa"/>
          </w:tcPr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策划：《不合格品控制程序》。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不合格处置：返工、绩效处罚。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提供有“绿化养护记录表”、“保洁记录表”，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具体抽样见8.5.1条款。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rPr>
                <w:rFonts w:hint="default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——基本符合</w:t>
            </w:r>
          </w:p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7" w:hRule="atLeast"/>
        </w:trPr>
        <w:tc>
          <w:tcPr>
            <w:tcW w:w="2160" w:type="dxa"/>
          </w:tcPr>
          <w:p>
            <w:pPr>
              <w:rPr>
                <w:rFonts w:hint="eastAsia"/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</w:rPr>
              <w:t>应急响应</w:t>
            </w:r>
          </w:p>
        </w:tc>
        <w:tc>
          <w:tcPr>
            <w:tcW w:w="960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ES8.2</w:t>
            </w:r>
          </w:p>
        </w:tc>
        <w:tc>
          <w:tcPr>
            <w:tcW w:w="10004" w:type="dxa"/>
          </w:tcPr>
          <w:p>
            <w:pPr>
              <w:pStyle w:val="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部门参与火灾演练，提供有火灾演练记录，</w:t>
            </w:r>
            <w:r>
              <w:rPr>
                <w:rFonts w:hint="eastAsia"/>
                <w:sz w:val="24"/>
                <w:szCs w:val="24"/>
                <w:lang w:eastAsia="zh-CN"/>
              </w:rPr>
              <w:t>2022.01.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/>
                <w:sz w:val="24"/>
                <w:szCs w:val="24"/>
                <w:lang w:eastAsia="zh-CN"/>
              </w:rPr>
              <w:t>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有效果评价。</w:t>
            </w:r>
          </w:p>
        </w:tc>
        <w:tc>
          <w:tcPr>
            <w:tcW w:w="1585" w:type="dxa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Y</w:t>
            </w:r>
          </w:p>
        </w:tc>
      </w:tr>
      <w:bookmarkEnd w:id="3"/>
    </w:tbl>
    <w:p>
      <w:r>
        <w:ptab w:relativeTo="margin" w:alignment="center" w:leader="none"/>
      </w:r>
    </w:p>
    <w:p/>
    <w:p/>
    <w:p>
      <w:pPr>
        <w:pStyle w:val="6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7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6BDF5D"/>
    <w:multiLevelType w:val="singleLevel"/>
    <w:tmpl w:val="A66BDF5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05280A4"/>
    <w:multiLevelType w:val="singleLevel"/>
    <w:tmpl w:val="F05280A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66115D3"/>
    <w:multiLevelType w:val="singleLevel"/>
    <w:tmpl w:val="166115D3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BAC5E47"/>
    <w:multiLevelType w:val="singleLevel"/>
    <w:tmpl w:val="4BAC5E47"/>
    <w:lvl w:ilvl="0" w:tentative="0">
      <w:start w:val="1"/>
      <w:numFmt w:val="lowerLetter"/>
      <w:lvlText w:val="%1)"/>
      <w:lvlJc w:val="left"/>
      <w:pPr>
        <w:tabs>
          <w:tab w:val="left" w:pos="420"/>
        </w:tabs>
        <w:ind w:left="425" w:hanging="425"/>
      </w:pPr>
      <w:rPr>
        <w:rFonts w:hint="default" w:ascii="宋体" w:hAnsi="宋体" w:eastAsia="宋体" w:cs="宋体"/>
      </w:rPr>
    </w:lvl>
  </w:abstractNum>
  <w:abstractNum w:abstractNumId="4">
    <w:nsid w:val="59FC9E56"/>
    <w:multiLevelType w:val="singleLevel"/>
    <w:tmpl w:val="59FC9E5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00AB2A10"/>
    <w:rsid w:val="00B701B7"/>
    <w:rsid w:val="01740174"/>
    <w:rsid w:val="02816E0C"/>
    <w:rsid w:val="02BA21E0"/>
    <w:rsid w:val="02E80AFB"/>
    <w:rsid w:val="03D27DB5"/>
    <w:rsid w:val="05A1011F"/>
    <w:rsid w:val="06045B59"/>
    <w:rsid w:val="07F97ADB"/>
    <w:rsid w:val="08AB3247"/>
    <w:rsid w:val="09224301"/>
    <w:rsid w:val="094C29AB"/>
    <w:rsid w:val="0AB3600E"/>
    <w:rsid w:val="0B153092"/>
    <w:rsid w:val="0C221910"/>
    <w:rsid w:val="0CA24551"/>
    <w:rsid w:val="0DDF60A2"/>
    <w:rsid w:val="0F2C5243"/>
    <w:rsid w:val="106F460A"/>
    <w:rsid w:val="10714BF2"/>
    <w:rsid w:val="11A75F71"/>
    <w:rsid w:val="11F03FA9"/>
    <w:rsid w:val="13441D7E"/>
    <w:rsid w:val="146D0E60"/>
    <w:rsid w:val="14B601C6"/>
    <w:rsid w:val="14F32100"/>
    <w:rsid w:val="1697085F"/>
    <w:rsid w:val="16B965DF"/>
    <w:rsid w:val="173F0565"/>
    <w:rsid w:val="17C0073C"/>
    <w:rsid w:val="18186886"/>
    <w:rsid w:val="181D133B"/>
    <w:rsid w:val="18CE7C34"/>
    <w:rsid w:val="18FE742E"/>
    <w:rsid w:val="198C1311"/>
    <w:rsid w:val="19EC0A79"/>
    <w:rsid w:val="19FE79B2"/>
    <w:rsid w:val="1A2C70C8"/>
    <w:rsid w:val="1AD50092"/>
    <w:rsid w:val="1B040D35"/>
    <w:rsid w:val="1C67088B"/>
    <w:rsid w:val="1D6757C2"/>
    <w:rsid w:val="1E0100DA"/>
    <w:rsid w:val="1F4B10F4"/>
    <w:rsid w:val="20843C3F"/>
    <w:rsid w:val="20C966E0"/>
    <w:rsid w:val="21BF24FB"/>
    <w:rsid w:val="2227630B"/>
    <w:rsid w:val="22AE3EB3"/>
    <w:rsid w:val="22F64BAC"/>
    <w:rsid w:val="23024E6A"/>
    <w:rsid w:val="23D711EC"/>
    <w:rsid w:val="24456840"/>
    <w:rsid w:val="244F3F45"/>
    <w:rsid w:val="259721E1"/>
    <w:rsid w:val="25D11105"/>
    <w:rsid w:val="26D42FC1"/>
    <w:rsid w:val="274E4B21"/>
    <w:rsid w:val="289A5B44"/>
    <w:rsid w:val="28B51839"/>
    <w:rsid w:val="2A6B3279"/>
    <w:rsid w:val="2CB93DCB"/>
    <w:rsid w:val="2D6A7DE3"/>
    <w:rsid w:val="2E934E6A"/>
    <w:rsid w:val="32C81AFF"/>
    <w:rsid w:val="332C47B7"/>
    <w:rsid w:val="333F5C66"/>
    <w:rsid w:val="34276D85"/>
    <w:rsid w:val="347932D5"/>
    <w:rsid w:val="34C62E5D"/>
    <w:rsid w:val="35495AA8"/>
    <w:rsid w:val="355D3F7B"/>
    <w:rsid w:val="367B3862"/>
    <w:rsid w:val="37837EFB"/>
    <w:rsid w:val="37CB5D1A"/>
    <w:rsid w:val="38673F02"/>
    <w:rsid w:val="39DC5FBD"/>
    <w:rsid w:val="3A0D4503"/>
    <w:rsid w:val="3A8452AE"/>
    <w:rsid w:val="3AA26A53"/>
    <w:rsid w:val="3AB67E12"/>
    <w:rsid w:val="3B644AB9"/>
    <w:rsid w:val="3B724229"/>
    <w:rsid w:val="3BEC4D74"/>
    <w:rsid w:val="3D6347B0"/>
    <w:rsid w:val="3D713B6B"/>
    <w:rsid w:val="3DE67F86"/>
    <w:rsid w:val="3EAE5A4E"/>
    <w:rsid w:val="40520D87"/>
    <w:rsid w:val="40BC36F8"/>
    <w:rsid w:val="40EE65D6"/>
    <w:rsid w:val="41294AB2"/>
    <w:rsid w:val="41B413F2"/>
    <w:rsid w:val="43732473"/>
    <w:rsid w:val="45344973"/>
    <w:rsid w:val="46E54D05"/>
    <w:rsid w:val="46F12203"/>
    <w:rsid w:val="47DD78F8"/>
    <w:rsid w:val="48B55BBC"/>
    <w:rsid w:val="4A1B1825"/>
    <w:rsid w:val="4AC757B0"/>
    <w:rsid w:val="4BC32FCA"/>
    <w:rsid w:val="4BE72CB9"/>
    <w:rsid w:val="4C196BFC"/>
    <w:rsid w:val="4CC56D84"/>
    <w:rsid w:val="4DDC321D"/>
    <w:rsid w:val="502618E8"/>
    <w:rsid w:val="505F0812"/>
    <w:rsid w:val="507E2BA6"/>
    <w:rsid w:val="51194443"/>
    <w:rsid w:val="51450494"/>
    <w:rsid w:val="52F06508"/>
    <w:rsid w:val="537B5A77"/>
    <w:rsid w:val="53D144BF"/>
    <w:rsid w:val="54281085"/>
    <w:rsid w:val="55AA01D8"/>
    <w:rsid w:val="56EF2BE1"/>
    <w:rsid w:val="59661F1A"/>
    <w:rsid w:val="59A56DAA"/>
    <w:rsid w:val="5C452078"/>
    <w:rsid w:val="5CEE5E83"/>
    <w:rsid w:val="5D9C3FE7"/>
    <w:rsid w:val="5E086AD1"/>
    <w:rsid w:val="600C68D3"/>
    <w:rsid w:val="60DC5EA7"/>
    <w:rsid w:val="60FE5BA7"/>
    <w:rsid w:val="611C6614"/>
    <w:rsid w:val="62B429ED"/>
    <w:rsid w:val="637D3ABD"/>
    <w:rsid w:val="63A4104A"/>
    <w:rsid w:val="645D1017"/>
    <w:rsid w:val="64D5339C"/>
    <w:rsid w:val="64F102BF"/>
    <w:rsid w:val="65365C86"/>
    <w:rsid w:val="655B5D0A"/>
    <w:rsid w:val="658D448B"/>
    <w:rsid w:val="65982E30"/>
    <w:rsid w:val="677D040D"/>
    <w:rsid w:val="67C63C85"/>
    <w:rsid w:val="681B037E"/>
    <w:rsid w:val="68346249"/>
    <w:rsid w:val="6844104D"/>
    <w:rsid w:val="6A7F61D2"/>
    <w:rsid w:val="6A8930BE"/>
    <w:rsid w:val="6B560E7C"/>
    <w:rsid w:val="6BA120D9"/>
    <w:rsid w:val="6C3934A5"/>
    <w:rsid w:val="6CC00B89"/>
    <w:rsid w:val="6DE74955"/>
    <w:rsid w:val="6E205202"/>
    <w:rsid w:val="6EF966EE"/>
    <w:rsid w:val="6F71097A"/>
    <w:rsid w:val="6F8F5141"/>
    <w:rsid w:val="706F244C"/>
    <w:rsid w:val="70DC62C7"/>
    <w:rsid w:val="712F6AA8"/>
    <w:rsid w:val="71FA1D3B"/>
    <w:rsid w:val="72312642"/>
    <w:rsid w:val="733E5AB2"/>
    <w:rsid w:val="735F0900"/>
    <w:rsid w:val="7454060E"/>
    <w:rsid w:val="74CE2F98"/>
    <w:rsid w:val="7521074C"/>
    <w:rsid w:val="756026B8"/>
    <w:rsid w:val="77461BF7"/>
    <w:rsid w:val="77BE6726"/>
    <w:rsid w:val="77F97614"/>
    <w:rsid w:val="78281DF2"/>
    <w:rsid w:val="79BC2204"/>
    <w:rsid w:val="7A5113F9"/>
    <w:rsid w:val="7A7C4677"/>
    <w:rsid w:val="7AB4372E"/>
    <w:rsid w:val="7DCE51E9"/>
    <w:rsid w:val="7DF536AF"/>
    <w:rsid w:val="7F421D33"/>
    <w:rsid w:val="7F543772"/>
    <w:rsid w:val="7FED0C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widowControl w:val="0"/>
      <w:spacing w:before="340" w:after="330" w:line="578" w:lineRule="auto"/>
      <w:jc w:val="both"/>
      <w:outlineLvl w:val="0"/>
    </w:pPr>
    <w:rPr>
      <w:rFonts w:ascii="Calibri" w:hAnsi="Calibri" w:cs="Arial"/>
      <w:b/>
      <w:bCs/>
      <w:kern w:val="44"/>
      <w:sz w:val="32"/>
      <w:szCs w:val="4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szCs w:val="20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next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9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Char"/>
    <w:basedOn w:val="9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15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3145</Words>
  <Characters>3477</Characters>
  <Lines>1</Lines>
  <Paragraphs>1</Paragraphs>
  <TotalTime>7</TotalTime>
  <ScaleCrop>false</ScaleCrop>
  <LinksUpToDate>false</LinksUpToDate>
  <CharactersWithSpaces>3586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匡吉文</cp:lastModifiedBy>
  <dcterms:modified xsi:type="dcterms:W3CDTF">2022-08-01T03:32:37Z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2052-11.1.0.11875</vt:lpwstr>
  </property>
</Properties>
</file>