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富顺县航宇绝缘材料厂</w:t>
            </w:r>
            <w:bookmarkEnd w:id="0"/>
            <w:r>
              <w:rPr>
                <w:rFonts w:hint="eastAsia"/>
                <w:color w:val="000000"/>
                <w:sz w:val="24"/>
                <w:szCs w:val="24"/>
              </w:rPr>
              <w:t xml:space="preserve">                 陪同人员：郑家禄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李林、</w:t>
            </w:r>
            <w:r>
              <w:rPr>
                <w:rFonts w:hint="eastAsia"/>
                <w:color w:val="000000"/>
                <w:sz w:val="24"/>
                <w:szCs w:val="24"/>
              </w:rPr>
              <w:t>马霖</w:t>
            </w:r>
            <w:bookmarkEnd w:id="1"/>
            <w:r>
              <w:rPr>
                <w:rFonts w:hint="eastAsia"/>
                <w:color w:val="000000"/>
                <w:sz w:val="24"/>
                <w:szCs w:val="24"/>
              </w:rPr>
              <w:t xml:space="preserve">     审核时间：</w:t>
            </w:r>
            <w:bookmarkStart w:id="2" w:name="审核日期"/>
            <w:r>
              <w:rPr>
                <w:rFonts w:hint="eastAsia"/>
                <w:color w:val="000000"/>
                <w:sz w:val="24"/>
                <w:szCs w:val="24"/>
              </w:rPr>
              <w:t>2022年07月07日 下午至2022年07月07日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91510322X2070112XW</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成立日期：2002年09月24日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制造：绝缘材料</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bookmarkStart w:id="3" w:name="审核范围"/>
            <w:r>
              <w:rPr>
                <w:rFonts w:hint="eastAsia" w:ascii="宋体" w:hAnsi="宋体" w:cs="宋体"/>
                <w:color w:val="000000"/>
                <w:kern w:val="0"/>
                <w:szCs w:val="21"/>
              </w:rPr>
              <w:t>绝缘绑扎材料的加工</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rFonts w:hint="eastAsia" w:ascii="宋体" w:hAnsi="宋体" w:cs="宋体"/>
                <w:color w:val="000000"/>
                <w:kern w:val="0"/>
                <w:szCs w:val="21"/>
              </w:rPr>
              <w:t>富顺县富世镇邓井关三道桥</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5" w:name="生产地址"/>
            <w:r>
              <w:rPr>
                <w:rFonts w:hint="eastAsia" w:ascii="宋体" w:hAnsi="宋体" w:cs="宋体"/>
                <w:color w:val="000000"/>
                <w:kern w:val="0"/>
                <w:szCs w:val="21"/>
              </w:rPr>
              <w:t>富顺县富世镇邓井关工农兵桥头</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p>
          <w:p>
            <w:pPr>
              <w:rPr>
                <w:rFonts w:hint="eastAsia"/>
                <w:color w:val="000000"/>
              </w:rPr>
            </w:pPr>
            <w:r>
              <w:rPr>
                <w:rFonts w:hint="eastAsia"/>
                <w:color w:val="000000"/>
              </w:rPr>
              <w:t>整经</w:t>
            </w:r>
            <w:r>
              <w:rPr>
                <w:rFonts w:hint="eastAsia"/>
                <w:color w:val="000000"/>
                <w:lang w:eastAsia="zh-CN"/>
              </w:rPr>
              <w:t>——</w:t>
            </w:r>
            <w:r>
              <w:rPr>
                <w:rFonts w:hint="eastAsia"/>
                <w:color w:val="000000"/>
              </w:rPr>
              <w:t>编织预织带、调整</w:t>
            </w:r>
            <w:r>
              <w:rPr>
                <w:rFonts w:hint="eastAsia"/>
                <w:color w:val="000000"/>
                <w:lang w:eastAsia="zh-CN"/>
              </w:rPr>
              <w:t>——</w:t>
            </w:r>
            <w:r>
              <w:rPr>
                <w:rFonts w:hint="eastAsia"/>
                <w:color w:val="000000"/>
              </w:rPr>
              <w:t>编织入框</w:t>
            </w:r>
            <w:r>
              <w:rPr>
                <w:rFonts w:hint="eastAsia"/>
                <w:color w:val="000000"/>
                <w:lang w:eastAsia="zh-CN"/>
              </w:rPr>
              <w:t>——</w:t>
            </w:r>
            <w:r>
              <w:rPr>
                <w:rFonts w:hint="eastAsia"/>
                <w:color w:val="000000"/>
              </w:rPr>
              <w:t>剪切复卷</w:t>
            </w:r>
            <w:r>
              <w:rPr>
                <w:rFonts w:hint="eastAsia"/>
                <w:color w:val="000000"/>
                <w:lang w:eastAsia="zh-CN"/>
              </w:rPr>
              <w:t>——</w:t>
            </w:r>
            <w:r>
              <w:rPr>
                <w:rFonts w:hint="eastAsia"/>
                <w:color w:val="000000"/>
              </w:rPr>
              <w:t>检验</w:t>
            </w:r>
            <w:r>
              <w:rPr>
                <w:rFonts w:hint="eastAsia"/>
                <w:color w:val="000000"/>
                <w:lang w:eastAsia="zh-CN"/>
              </w:rPr>
              <w:t>——</w:t>
            </w:r>
            <w:r>
              <w:rPr>
                <w:rFonts w:hint="eastAsia"/>
                <w:color w:val="000000"/>
              </w:rPr>
              <w:t>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管理手册发布的时间：2019年7月20日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标准宣贯的时间：2019年7月20日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sym w:font="Wingdings 2" w:char="00A3"/>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color w:val="000000"/>
                <w:szCs w:val="18"/>
              </w:rPr>
              <w:t>质量第一、顾客至上、全员参与、追求卓越</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Cs w:val="18"/>
                      <w:lang w:val="en-US" w:eastAsia="zh-CN"/>
                    </w:rPr>
                  </w:pPr>
                  <w:r>
                    <w:rPr>
                      <w:rFonts w:hint="eastAsia"/>
                      <w:color w:val="000000"/>
                      <w:szCs w:val="18"/>
                    </w:rPr>
                    <w:t>合同按时完成率100%</w:t>
                  </w:r>
                </w:p>
              </w:tc>
              <w:tc>
                <w:tcPr>
                  <w:tcW w:w="1387" w:type="dxa"/>
                  <w:vAlign w:val="center"/>
                </w:tcPr>
                <w:p>
                  <w:pPr>
                    <w:widowControl/>
                    <w:spacing w:before="40"/>
                    <w:jc w:val="left"/>
                    <w:rPr>
                      <w:rFonts w:hint="eastAsia"/>
                      <w:color w:val="000000"/>
                      <w:szCs w:val="18"/>
                      <w:lang w:val="en-US" w:eastAsia="zh-CN"/>
                    </w:rPr>
                  </w:pPr>
                  <w:r>
                    <w:rPr>
                      <w:rFonts w:hint="eastAsia"/>
                      <w:color w:val="000000"/>
                      <w:szCs w:val="18"/>
                    </w:rPr>
                    <w:t>1次/季</w:t>
                  </w:r>
                </w:p>
              </w:tc>
              <w:tc>
                <w:tcPr>
                  <w:tcW w:w="3499" w:type="dxa"/>
                  <w:vAlign w:val="center"/>
                </w:tcPr>
                <w:p>
                  <w:pPr>
                    <w:widowControl/>
                    <w:spacing w:before="40"/>
                    <w:jc w:val="left"/>
                    <w:rPr>
                      <w:rFonts w:hint="eastAsia"/>
                      <w:color w:val="000000"/>
                      <w:szCs w:val="18"/>
                      <w:lang w:val="en-US" w:eastAsia="zh-CN"/>
                    </w:rPr>
                  </w:pPr>
                  <w:r>
                    <w:rPr>
                      <w:rFonts w:hint="eastAsia"/>
                      <w:color w:val="000000"/>
                      <w:szCs w:val="18"/>
                    </w:rPr>
                    <w:t>按时完成数/合同总数*100%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Cs w:val="18"/>
                      <w:lang w:val="en-US" w:eastAsia="zh-CN"/>
                    </w:rPr>
                  </w:pPr>
                  <w:r>
                    <w:rPr>
                      <w:rFonts w:hint="eastAsia"/>
                      <w:color w:val="000000"/>
                      <w:szCs w:val="18"/>
                    </w:rPr>
                    <w:t>产品一次检验合格率98%</w:t>
                  </w:r>
                </w:p>
              </w:tc>
              <w:tc>
                <w:tcPr>
                  <w:tcW w:w="1387" w:type="dxa"/>
                  <w:vAlign w:val="center"/>
                </w:tcPr>
                <w:p>
                  <w:pPr>
                    <w:widowControl/>
                    <w:spacing w:before="40"/>
                    <w:jc w:val="left"/>
                    <w:rPr>
                      <w:rFonts w:hint="eastAsia"/>
                      <w:color w:val="000000"/>
                      <w:szCs w:val="18"/>
                      <w:lang w:val="en-US" w:eastAsia="zh-CN"/>
                    </w:rPr>
                  </w:pPr>
                  <w:r>
                    <w:rPr>
                      <w:rFonts w:hint="eastAsia"/>
                      <w:color w:val="000000"/>
                      <w:szCs w:val="18"/>
                    </w:rPr>
                    <w:t>1次/月</w:t>
                  </w:r>
                </w:p>
              </w:tc>
              <w:tc>
                <w:tcPr>
                  <w:tcW w:w="3499" w:type="dxa"/>
                  <w:vAlign w:val="center"/>
                </w:tcPr>
                <w:p>
                  <w:pPr>
                    <w:widowControl/>
                    <w:spacing w:before="40"/>
                    <w:jc w:val="left"/>
                    <w:rPr>
                      <w:rFonts w:hint="eastAsia"/>
                      <w:color w:val="000000"/>
                      <w:szCs w:val="18"/>
                      <w:lang w:val="en-US" w:eastAsia="zh-CN"/>
                    </w:rPr>
                  </w:pPr>
                  <w:r>
                    <w:rPr>
                      <w:rFonts w:hint="eastAsia"/>
                      <w:color w:val="000000"/>
                      <w:szCs w:val="18"/>
                    </w:rPr>
                    <w:t>检验合格数/检验总数*100%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Cs w:val="18"/>
                      <w:lang w:val="en-US" w:eastAsia="zh-CN"/>
                    </w:rPr>
                  </w:pPr>
                  <w:r>
                    <w:rPr>
                      <w:rFonts w:hint="eastAsia"/>
                      <w:color w:val="000000"/>
                      <w:szCs w:val="18"/>
                    </w:rPr>
                    <w:t>顾客满意得分≥90分</w:t>
                  </w:r>
                </w:p>
              </w:tc>
              <w:tc>
                <w:tcPr>
                  <w:tcW w:w="1387" w:type="dxa"/>
                  <w:vAlign w:val="center"/>
                </w:tcPr>
                <w:p>
                  <w:pPr>
                    <w:widowControl/>
                    <w:spacing w:before="40"/>
                    <w:jc w:val="left"/>
                    <w:rPr>
                      <w:rFonts w:hint="eastAsia"/>
                      <w:color w:val="000000"/>
                      <w:szCs w:val="18"/>
                      <w:lang w:val="en-US" w:eastAsia="zh-CN"/>
                    </w:rPr>
                  </w:pPr>
                  <w:r>
                    <w:rPr>
                      <w:rFonts w:hint="eastAsia"/>
                      <w:color w:val="000000"/>
                      <w:szCs w:val="18"/>
                    </w:rPr>
                    <w:t>1次/年</w:t>
                  </w:r>
                </w:p>
              </w:tc>
              <w:tc>
                <w:tcPr>
                  <w:tcW w:w="3499" w:type="dxa"/>
                  <w:vAlign w:val="center"/>
                </w:tcPr>
                <w:p>
                  <w:pPr>
                    <w:widowControl/>
                    <w:spacing w:before="40"/>
                    <w:jc w:val="left"/>
                    <w:rPr>
                      <w:rFonts w:hint="eastAsia"/>
                      <w:color w:val="000000"/>
                      <w:szCs w:val="18"/>
                      <w:lang w:val="en-US" w:eastAsia="zh-CN"/>
                    </w:rPr>
                  </w:pPr>
                  <w:r>
                    <w:rPr>
                      <w:rFonts w:hint="eastAsia"/>
                      <w:color w:val="000000"/>
                      <w:szCs w:val="18"/>
                    </w:rPr>
                    <w:t>满意率/总调查数</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rPr>
                  </w:pPr>
                </w:p>
              </w:tc>
              <w:tc>
                <w:tcPr>
                  <w:tcW w:w="1387" w:type="dxa"/>
                </w:tcPr>
                <w:p>
                  <w:pPr>
                    <w:widowControl/>
                    <w:spacing w:before="40"/>
                    <w:jc w:val="left"/>
                    <w:rPr>
                      <w:rFonts w:hint="eastAsia"/>
                      <w:color w:val="000000"/>
                      <w:szCs w:val="18"/>
                    </w:rPr>
                  </w:pPr>
                </w:p>
              </w:tc>
              <w:tc>
                <w:tcPr>
                  <w:tcW w:w="3499" w:type="dxa"/>
                </w:tcPr>
                <w:p>
                  <w:pPr>
                    <w:widowControl/>
                    <w:spacing w:before="40"/>
                    <w:jc w:val="left"/>
                    <w:rPr>
                      <w:rFonts w:hint="eastAsia"/>
                      <w:color w:val="000000"/>
                      <w:szCs w:val="18"/>
                    </w:rPr>
                  </w:pPr>
                </w:p>
              </w:tc>
              <w:tc>
                <w:tcPr>
                  <w:tcW w:w="2444" w:type="dxa"/>
                </w:tcPr>
                <w:p>
                  <w:pPr>
                    <w:widowControl/>
                    <w:spacing w:before="40"/>
                    <w:jc w:val="left"/>
                    <w:rPr>
                      <w:rFonts w:hint="eastAsia"/>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28</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自管理体系建立后，于2022年 6月 7日至6月8日实施了内部审核；记录包括：</w:t>
            </w:r>
          </w:p>
          <w:p>
            <w:pPr>
              <w:widowControl/>
              <w:spacing w:before="40"/>
              <w:jc w:val="left"/>
              <w:rPr>
                <w:rFonts w:hint="eastAsia"/>
                <w:color w:val="000000"/>
                <w:szCs w:val="18"/>
              </w:rPr>
            </w:pPr>
            <w:r>
              <w:rPr>
                <w:rFonts w:hint="eastAsia"/>
                <w:color w:val="000000"/>
                <w:szCs w:val="18"/>
              </w:rPr>
              <w:sym w:font="Wingdings 2" w:char="0052"/>
            </w:r>
            <w:r>
              <w:rPr>
                <w:rFonts w:hint="eastAsia"/>
                <w:color w:val="000000"/>
                <w:szCs w:val="18"/>
              </w:rPr>
              <w:t>内审计划、</w:t>
            </w:r>
            <w:r>
              <w:rPr>
                <w:rFonts w:hint="eastAsia"/>
                <w:color w:val="000000"/>
                <w:szCs w:val="18"/>
              </w:rPr>
              <w:sym w:font="Wingdings 2" w:char="0052"/>
            </w:r>
            <w:r>
              <w:rPr>
                <w:rFonts w:hint="eastAsia"/>
                <w:color w:val="000000"/>
                <w:szCs w:val="18"/>
              </w:rPr>
              <w:t>内审检查表、</w:t>
            </w:r>
            <w:r>
              <w:rPr>
                <w:rFonts w:hint="eastAsia"/>
                <w:color w:val="000000"/>
                <w:szCs w:val="18"/>
              </w:rPr>
              <w:sym w:font="Wingdings 2" w:char="0052"/>
            </w:r>
            <w:r>
              <w:rPr>
                <w:rFonts w:hint="eastAsia"/>
                <w:color w:val="000000"/>
                <w:szCs w:val="18"/>
              </w:rPr>
              <w:t>不符合项报告份、</w:t>
            </w:r>
            <w:r>
              <w:rPr>
                <w:rFonts w:hint="eastAsia"/>
                <w:color w:val="000000"/>
                <w:szCs w:val="18"/>
              </w:rPr>
              <w:sym w:font="Wingdings 2" w:char="0052"/>
            </w:r>
            <w:r>
              <w:rPr>
                <w:rFonts w:hint="eastAsia"/>
                <w:color w:val="000000"/>
                <w:szCs w:val="18"/>
              </w:rPr>
              <w:t>内审报告</w:t>
            </w:r>
          </w:p>
          <w:p>
            <w:pPr>
              <w:widowControl/>
              <w:spacing w:before="40"/>
              <w:jc w:val="left"/>
              <w:rPr>
                <w:rFonts w:hint="eastAsia"/>
                <w:color w:val="000000"/>
                <w:szCs w:val="18"/>
              </w:rPr>
            </w:pPr>
          </w:p>
          <w:p>
            <w:pPr>
              <w:widowControl/>
              <w:spacing w:before="40"/>
              <w:jc w:val="left"/>
              <w:rPr>
                <w:color w:val="000000"/>
                <w:szCs w:val="18"/>
                <w:highlight w:val="cyan"/>
              </w:rPr>
            </w:pPr>
            <w:r>
              <w:rPr>
                <w:rFonts w:hint="eastAsia"/>
                <w:color w:val="000000"/>
                <w:szCs w:val="18"/>
              </w:rPr>
              <w:t>自管理体系建立后，于2022年 6月 20 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rFonts w:hint="eastAsia"/>
                <w:color w:val="000000"/>
                <w:szCs w:val="18"/>
              </w:rPr>
            </w:pPr>
            <w:r>
              <w:rPr>
                <w:rFonts w:hint="eastAsia"/>
                <w:color w:val="000000"/>
                <w:szCs w:val="18"/>
              </w:rPr>
              <w:t>合理理由的详细说明：公司进行绝缘绑扎材料按照工艺要求（工艺成熟）和产品标准，目前不进行设计与开发，故GB/T19001-2016标准中第8.3条款对本公司不适用。该条款的不适用不影响组织提供满足客户对产品的质量要求及相关法律法规要求。</w:t>
            </w:r>
          </w:p>
          <w:p>
            <w:pPr>
              <w:rPr>
                <w:color w:val="000000"/>
                <w:szCs w:val="18"/>
              </w:rPr>
            </w:pP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质量关键过程（工序）：编织入框</w:t>
            </w:r>
            <w:r>
              <w:rPr>
                <w:rFonts w:hint="eastAsia"/>
                <w:color w:val="000000"/>
                <w:u w:val="single"/>
              </w:rPr>
              <w:t>；</w:t>
            </w:r>
            <w:r>
              <w:rPr>
                <w:rFonts w:hint="eastAsia"/>
                <w:color w:val="000000"/>
              </w:rPr>
              <w:t>相关控制参数名称：</w:t>
            </w:r>
            <w:r>
              <w:rPr>
                <w:rFonts w:hint="eastAsia"/>
                <w:color w:val="000000"/>
                <w:lang w:val="en-US" w:eastAsia="zh-CN"/>
              </w:rPr>
              <w:t>作业指导书</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无</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default" w:eastAsia="宋体"/>
                <w:color w:val="000000"/>
                <w:u w:val="single"/>
                <w:lang w:val="en-US" w:eastAsia="zh-CN"/>
              </w:rPr>
            </w:pPr>
            <w:r>
              <w:rPr>
                <w:rFonts w:hint="eastAsia"/>
                <w:color w:val="000000"/>
              </w:rPr>
              <w:t>检测部门名称：</w:t>
            </w:r>
            <w:r>
              <w:rPr>
                <w:rFonts w:hint="eastAsia"/>
                <w:color w:val="000000"/>
                <w:lang w:val="en-US" w:eastAsia="zh-CN"/>
              </w:rPr>
              <w:t>桂林赛盟检测技术有限公司</w:t>
            </w:r>
            <w:r>
              <w:rPr>
                <w:rFonts w:hint="eastAsia"/>
                <w:color w:val="000000"/>
                <w:u w:val="single"/>
              </w:rPr>
              <w:t xml:space="preserve">； </w:t>
            </w:r>
            <w:r>
              <w:rPr>
                <w:rFonts w:hint="eastAsia"/>
                <w:color w:val="000000"/>
              </w:rPr>
              <w:t>报告编号：</w:t>
            </w:r>
            <w:r>
              <w:rPr>
                <w:rFonts w:hint="eastAsia"/>
                <w:color w:val="000000"/>
                <w:lang w:val="en-US" w:eastAsia="zh-CN"/>
              </w:rPr>
              <w:t>202202071</w:t>
            </w:r>
            <w:r>
              <w:rPr>
                <w:rFonts w:hint="eastAsia"/>
                <w:color w:val="000000"/>
              </w:rPr>
              <w:t>报告日期：</w:t>
            </w:r>
            <w:r>
              <w:rPr>
                <w:rFonts w:hint="eastAsia"/>
                <w:color w:val="000000"/>
                <w:lang w:val="en-US" w:eastAsia="zh-CN"/>
              </w:rPr>
              <w:t>2022.06.06</w:t>
            </w:r>
          </w:p>
          <w:p>
            <w:pPr>
              <w:rPr>
                <w:color w:val="000000"/>
              </w:rPr>
            </w:pPr>
            <w:r>
              <w:rPr>
                <w:rFonts w:hint="eastAsia"/>
                <w:color w:val="000000"/>
              </w:rPr>
              <w:t>执行标准：</w:t>
            </w:r>
            <w:r>
              <w:rPr>
                <w:rFonts w:hint="eastAsia"/>
                <w:color w:val="000000"/>
                <w:lang w:val="en-US" w:eastAsia="zh-CN"/>
              </w:rPr>
              <w:t>GB/T20630.2-2006 聚酯纤维机织带规范</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rFonts w:hint="eastAsia"/>
                <w:color w:val="000000"/>
                <w:u w:val="single"/>
                <w:lang w:val="en-US" w:eastAsia="zh-CN"/>
              </w:rPr>
              <w:t>满意度92分</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shd w:val="pct10" w:color="auto" w:fill="FFFFFF"/>
              </w:rPr>
              <w:t>QMS场所巡查</w:t>
            </w:r>
            <w:r>
              <w:rPr>
                <w:color w:val="000000"/>
                <w:highlight w:val="none"/>
                <w:shd w:val="pct10" w:color="auto" w:fill="FFFFFF"/>
              </w:rPr>
              <w:t>:</w:t>
            </w:r>
          </w:p>
          <w:p>
            <w:pPr>
              <w:rPr>
                <w:color w:val="000000"/>
                <w:highlight w:val="none"/>
              </w:rPr>
            </w:pPr>
            <w:r>
              <w:rPr>
                <w:rFonts w:hint="eastAsia"/>
                <w:color w:val="000000"/>
                <w:highlight w:val="none"/>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巡视生产区域（</w:t>
            </w:r>
            <w:r>
              <w:rPr>
                <w:rFonts w:hint="eastAsia"/>
                <w:color w:val="000000"/>
                <w:szCs w:val="21"/>
                <w:highlight w:val="none"/>
              </w:rPr>
              <w:sym w:font="Wingdings 2" w:char="0052"/>
            </w:r>
            <w:r>
              <w:rPr>
                <w:rFonts w:hint="eastAsia"/>
                <w:color w:val="000000"/>
                <w:highlight w:val="none"/>
              </w:rPr>
              <w:t>厂区、</w:t>
            </w:r>
            <w:r>
              <w:rPr>
                <w:rFonts w:hint="eastAsia"/>
                <w:color w:val="000000"/>
                <w:szCs w:val="21"/>
                <w:highlight w:val="none"/>
              </w:rPr>
              <w:sym w:font="Wingdings 2" w:char="0052"/>
            </w:r>
            <w:r>
              <w:rPr>
                <w:rFonts w:hint="eastAsia"/>
                <w:color w:val="000000"/>
                <w:szCs w:val="21"/>
                <w:highlight w:val="none"/>
              </w:rPr>
              <w:t>生产/加工</w:t>
            </w:r>
            <w:r>
              <w:rPr>
                <w:rFonts w:hint="eastAsia"/>
                <w:color w:val="000000"/>
                <w:highlight w:val="none"/>
              </w:rPr>
              <w:t>车间、</w:t>
            </w:r>
            <w:r>
              <w:rPr>
                <w:rFonts w:hint="eastAsia"/>
                <w:color w:val="000000"/>
                <w:szCs w:val="21"/>
                <w:highlight w:val="none"/>
              </w:rPr>
              <w:sym w:font="Wingdings 2" w:char="0052"/>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t>□</w:t>
            </w:r>
            <w:r>
              <w:rPr>
                <w:rFonts w:hint="eastAsia"/>
                <w:color w:val="000000"/>
                <w:highlight w:val="none"/>
              </w:rPr>
              <w:t>实验室/化验室等）</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可以满足运行要求；□基本可以满足运行要求；</w:t>
            </w:r>
          </w:p>
          <w:p>
            <w:pPr>
              <w:rPr>
                <w:color w:val="000000"/>
                <w:highlight w:val="none"/>
              </w:rPr>
            </w:pPr>
            <w:r>
              <w:rPr>
                <w:rFonts w:hint="eastAsia"/>
                <w:color w:val="000000"/>
                <w:szCs w:val="21"/>
                <w:highlight w:val="none"/>
              </w:rPr>
              <w:t>□不可以满足运行要求，说明</w:t>
            </w:r>
            <w:r>
              <w:rPr>
                <w:rFonts w:hint="eastAsia"/>
                <w:color w:val="000000"/>
                <w:highlight w:val="none"/>
                <w:u w:val="single"/>
              </w:rPr>
              <w:t xml:space="preserve">； </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与企业提供的工艺流程一致；□与企业提供的工艺流程基本一致；</w:t>
            </w:r>
          </w:p>
          <w:p>
            <w:pPr>
              <w:widowControl/>
              <w:spacing w:before="40"/>
              <w:jc w:val="left"/>
              <w:rPr>
                <w:color w:val="000000"/>
                <w:highlight w:val="none"/>
              </w:rPr>
            </w:pPr>
            <w:r>
              <w:rPr>
                <w:rFonts w:hint="eastAsia"/>
                <w:color w:val="000000"/>
                <w:szCs w:val="21"/>
                <w:highlight w:val="none"/>
              </w:rPr>
              <w:t>□与企业提供的工艺流程不一致；</w:t>
            </w:r>
            <w:r>
              <w:rPr>
                <w:rFonts w:hint="eastAsia"/>
                <w:color w:val="000000"/>
                <w:highlight w:val="none"/>
              </w:rPr>
              <w:t>说明</w:t>
            </w:r>
            <w:r>
              <w:rPr>
                <w:rFonts w:hint="eastAsia"/>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highlight w:val="none"/>
                <w:shd w:val="pct10" w:color="auto" w:fill="FFFFFF"/>
              </w:rPr>
            </w:pPr>
            <w:r>
              <w:rPr>
                <w:rFonts w:hint="eastAsia"/>
                <w:color w:val="000000"/>
                <w:highlight w:val="none"/>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highlight w:val="none"/>
              </w:rPr>
              <w:t>观察基础设施（生产设备）</w:t>
            </w:r>
            <w:r>
              <w:rPr>
                <w:rFonts w:hint="eastAsia"/>
                <w:color w:val="000000"/>
                <w:szCs w:val="21"/>
                <w:highlight w:val="none"/>
              </w:rPr>
              <w:t>，主要有</w:t>
            </w:r>
            <w:r>
              <w:rPr>
                <w:rFonts w:hint="eastAsia"/>
                <w:color w:val="000000"/>
                <w:highlight w:val="none"/>
                <w:u w:val="single"/>
              </w:rPr>
              <w:t>；</w:t>
            </w:r>
            <w:r>
              <w:rPr>
                <w:rFonts w:hint="eastAsia" w:ascii="宋体" w:hAnsi="宋体"/>
                <w:szCs w:val="21"/>
                <w:highlight w:val="none"/>
                <w:lang w:eastAsia="zh-CN"/>
              </w:rPr>
              <w:t>无梭织带机、拉纱机、复卷机等设备</w:t>
            </w:r>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运行完好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highlight w:val="none"/>
                <w:u w:val="single"/>
              </w:rPr>
              <w:t>；</w:t>
            </w:r>
            <w:r>
              <w:rPr>
                <w:rFonts w:hint="eastAsia" w:ascii="宋体" w:hAnsi="宋体"/>
                <w:szCs w:val="21"/>
                <w:lang w:val="en-US" w:eastAsia="zh-CN"/>
              </w:rPr>
              <w:t>千分尺、电子秤、游标卡尺</w:t>
            </w:r>
            <w:r>
              <w:rPr>
                <w:rFonts w:hint="eastAsia" w:ascii="宋体" w:hAnsi="宋体"/>
                <w:szCs w:val="21"/>
                <w:highlight w:val="none"/>
                <w:lang w:eastAsia="zh-CN"/>
              </w:rPr>
              <w:t>等</w:t>
            </w:r>
          </w:p>
          <w:p>
            <w:pPr>
              <w:widowControl/>
              <w:spacing w:before="40"/>
              <w:jc w:val="left"/>
              <w:rPr>
                <w:color w:val="000000"/>
                <w:highlight w:val="none"/>
              </w:rPr>
            </w:pPr>
            <w:r>
              <w:rPr>
                <w:rFonts w:hint="eastAsia"/>
                <w:color w:val="000000"/>
                <w:highlight w:val="none"/>
              </w:rPr>
              <w:t>了解检定/校准情况（合格证标识）</w:t>
            </w:r>
            <w:bookmarkStart w:id="6" w:name="_GoBack"/>
            <w:bookmarkEnd w:id="6"/>
          </w:p>
          <w:p>
            <w:pPr>
              <w:widowControl/>
              <w:spacing w:before="40"/>
              <w:jc w:val="left"/>
              <w:rPr>
                <w:color w:val="000000"/>
                <w:highlight w:val="none"/>
              </w:rPr>
            </w:pPr>
            <w:r>
              <w:rPr>
                <w:rFonts w:hint="eastAsia"/>
                <w:color w:val="000000"/>
                <w:szCs w:val="21"/>
                <w:highlight w:val="none"/>
              </w:rPr>
              <w:sym w:font="Wingdings 2" w:char="0052"/>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p>
          <w:p>
            <w:pPr>
              <w:widowControl/>
              <w:spacing w:before="40"/>
              <w:jc w:val="left"/>
              <w:rPr>
                <w:color w:val="000000"/>
                <w:szCs w:val="21"/>
                <w:highlight w:val="none"/>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t>□场内机动车辆（叉车）；□起重机械；□压力容器；□压力管道；□锅炉；□电梯</w:t>
            </w:r>
          </w:p>
          <w:p>
            <w:pPr>
              <w:widowControl/>
              <w:spacing w:before="40"/>
              <w:jc w:val="left"/>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399412E"/>
    <w:rsid w:val="097A2687"/>
    <w:rsid w:val="22D041A7"/>
    <w:rsid w:val="2355768F"/>
    <w:rsid w:val="2E0A72C8"/>
    <w:rsid w:val="31CA656B"/>
    <w:rsid w:val="37721F5F"/>
    <w:rsid w:val="44810D7B"/>
    <w:rsid w:val="53D43DF0"/>
    <w:rsid w:val="5B6976B4"/>
    <w:rsid w:val="64CE14C4"/>
    <w:rsid w:val="6C2B4FB3"/>
    <w:rsid w:val="6CDF1345"/>
    <w:rsid w:val="71D21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character" w:customStyle="1" w:styleId="1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3446</Characters>
  <Lines>92</Lines>
  <Paragraphs>26</Paragraphs>
  <TotalTime>0</TotalTime>
  <ScaleCrop>false</ScaleCrop>
  <LinksUpToDate>false</LinksUpToDate>
  <CharactersWithSpaces>3879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2022-07-12T03:25:02Z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