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孟村回族自治县德发铸造有限公司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河北省沧州市孟村回族自治县新县镇肖庄子工业区中段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办公地址：孟村县金都国际城4号楼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高建法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13903177591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908493703@qq.com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0883-2022-EO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E：钢管脚手架扣件、井盖、井篦子铸件、钢管脚手架镀锌钢跳板、钢筋套筒、钢格栅板、钢筋钢板网片、地脚螺栓、管件、管材的销售所涉及场所的相关环境管理活动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O：钢管脚手架扣件、井盖、井篦子铸件、钢管脚手架镀锌钢跳板、钢筋套筒、钢格栅板、钢筋钢板网片、地脚螺栓、管件、管材的销售所涉及场所的相关职业健康安全管理活动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2022年07月07日 上午至2022年07月08日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bookmarkStart w:id="36" w:name="_GoBack"/>
      <w:bookmarkEnd w:id="36"/>
      <w:r>
        <w:rPr>
          <w:rFonts w:hint="eastAsia" w:ascii="宋体" w:hAnsi="宋体" w:eastAsia="宋体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-615950</wp:posOffset>
            </wp:positionV>
            <wp:extent cx="7022465" cy="9284335"/>
            <wp:effectExtent l="0" t="0" r="635" b="12065"/>
            <wp:wrapNone/>
            <wp:docPr id="1" name="图片 1" descr="微信图片_202207151603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516032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2465" cy="928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57"/>
        <w:gridCol w:w="1000"/>
        <w:gridCol w:w="601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2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2022.7.7</w:t>
            </w:r>
          </w:p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：00-13：00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57" w:type="dxa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9：00-12：00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领导层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安全事务代表</w:t>
            </w:r>
          </w:p>
        </w:tc>
        <w:tc>
          <w:tcPr>
            <w:tcW w:w="6012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管理层：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de-DE"/>
              </w:rPr>
              <w:t>EMS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/OMS: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de-DE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5.4员工参与和协商； 6.1.1策划总则；6.1.4措施的策划；6.2目标及其实现的策划；7.1资源、7.4沟通/信息交流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9.3管理评审；10.1改进 总则；10.3持续改进。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57" w:type="dxa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13:00-17:30</w:t>
            </w:r>
          </w:p>
        </w:tc>
        <w:tc>
          <w:tcPr>
            <w:tcW w:w="10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6012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de-DE"/>
              </w:rPr>
              <w:t>EMS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/OMS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5.3组织的岗位、职责和权限、6.1.2环境因素/危险源的辨识与评价、6.1.3合规义务、6.2.1环境/职业健康安全目标、6.2.2实现环境/职业健康安全目标措施的策划、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7.2能力、7.3意识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7.5.1形成文件的信息总则、7.5.2形成文件的信息的创建和更新、7.5.3形成文件的信息的控制、8.1运行策划和控制、8.2应急准备和响应、9.1.1监测、分析和评估总则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9.1.2合规性评价、9.2 内部审核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10.2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事件、不符合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和纠正措施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EMS运行控制相关财务支出证据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2022.7.8</w:t>
            </w:r>
          </w:p>
        </w:tc>
        <w:tc>
          <w:tcPr>
            <w:tcW w:w="1457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8：00-10：00</w:t>
            </w:r>
          </w:p>
        </w:tc>
        <w:tc>
          <w:tcPr>
            <w:tcW w:w="1000" w:type="dxa"/>
            <w:vAlign w:val="top"/>
          </w:tcPr>
          <w:p>
            <w:pPr>
              <w:spacing w:line="300" w:lineRule="exact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质检部</w:t>
            </w:r>
          </w:p>
        </w:tc>
        <w:tc>
          <w:tcPr>
            <w:tcW w:w="6012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10：00-11：30</w:t>
            </w:r>
          </w:p>
        </w:tc>
        <w:tc>
          <w:tcPr>
            <w:tcW w:w="1000" w:type="dxa"/>
            <w:vAlign w:val="top"/>
          </w:tcPr>
          <w:p>
            <w:pPr>
              <w:spacing w:line="300" w:lineRule="exact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6012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MS: 5.3组织的岗位、职责和权限、6.2环境与职业健康安全目标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、6.1.2环境因素/危险源辨识与评价、8.1运行策划和控制、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8.2应急准备和响应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57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11：30-12:00</w:t>
            </w:r>
          </w:p>
        </w:tc>
        <w:tc>
          <w:tcPr>
            <w:tcW w:w="7012" w:type="dxa"/>
            <w:gridSpan w:val="2"/>
            <w:shd w:val="clear" w:color="auto" w:fill="F2DCDC" w:themeFill="accent2" w:themeFillTint="32"/>
          </w:tcPr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审核组与受审核方领导层沟通；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3CC096F"/>
    <w:rsid w:val="0B3759A1"/>
    <w:rsid w:val="16D90271"/>
    <w:rsid w:val="1A4B0DF6"/>
    <w:rsid w:val="1B1B37AF"/>
    <w:rsid w:val="2A2B22A9"/>
    <w:rsid w:val="2C8A00A0"/>
    <w:rsid w:val="44E75555"/>
    <w:rsid w:val="504224BD"/>
    <w:rsid w:val="5EF603CA"/>
    <w:rsid w:val="668A7FF6"/>
    <w:rsid w:val="68B90674"/>
    <w:rsid w:val="69264077"/>
    <w:rsid w:val="695D50F2"/>
    <w:rsid w:val="6A974355"/>
    <w:rsid w:val="6DEF053B"/>
    <w:rsid w:val="75EF51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1874</Words>
  <Characters>2581</Characters>
  <Lines>37</Lines>
  <Paragraphs>10</Paragraphs>
  <TotalTime>0</TotalTime>
  <ScaleCrop>false</ScaleCrop>
  <LinksUpToDate>false</LinksUpToDate>
  <CharactersWithSpaces>2642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强子</cp:lastModifiedBy>
  <dcterms:modified xsi:type="dcterms:W3CDTF">2022-07-15T08:05:46Z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